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01" w:rsidRPr="00FB2701" w:rsidRDefault="00FB2701" w:rsidP="00FB2701">
      <w:pPr>
        <w:autoSpaceDE w:val="0"/>
        <w:autoSpaceDN w:val="0"/>
        <w:adjustRightInd w:val="0"/>
        <w:jc w:val="right"/>
        <w:rPr>
          <w:rFonts w:cs="Verdana"/>
          <w:b/>
          <w:bCs/>
          <w:color w:val="000000"/>
        </w:rPr>
      </w:pPr>
      <w:bookmarkStart w:id="0" w:name="_GoBack"/>
      <w:bookmarkEnd w:id="0"/>
      <w:r w:rsidRPr="00FB2701">
        <w:rPr>
          <w:rFonts w:cs="Verdana"/>
          <w:b/>
          <w:bCs/>
          <w:color w:val="000000"/>
        </w:rPr>
        <w:t>Gender Statistics Advisory Group</w:t>
      </w:r>
      <w:r>
        <w:rPr>
          <w:rFonts w:cs="Verdana"/>
          <w:b/>
          <w:bCs/>
          <w:color w:val="000000"/>
        </w:rPr>
        <w:br/>
        <w:t xml:space="preserve">28 </w:t>
      </w:r>
      <w:r w:rsidR="005C0D0B">
        <w:rPr>
          <w:rFonts w:cs="Verdana"/>
          <w:b/>
          <w:bCs/>
          <w:color w:val="000000"/>
        </w:rPr>
        <w:t>May 2014</w:t>
      </w:r>
    </w:p>
    <w:p w:rsidR="002C60D9" w:rsidRPr="002C60D9" w:rsidRDefault="00FB2701" w:rsidP="002C60D9">
      <w:pPr>
        <w:autoSpaceDE w:val="0"/>
        <w:autoSpaceDN w:val="0"/>
        <w:adjustRightInd w:val="0"/>
        <w:jc w:val="center"/>
        <w:rPr>
          <w:rFonts w:cs="Verdana"/>
          <w:b/>
          <w:bCs/>
          <w:color w:val="000000"/>
        </w:rPr>
      </w:pPr>
      <w:r w:rsidRPr="00FB2701">
        <w:rPr>
          <w:rFonts w:cs="Verdana"/>
          <w:b/>
          <w:bCs/>
          <w:color w:val="000000"/>
        </w:rPr>
        <w:t xml:space="preserve">Agenda Item </w:t>
      </w:r>
      <w:r>
        <w:rPr>
          <w:rFonts w:cs="Verdana"/>
          <w:b/>
          <w:bCs/>
          <w:color w:val="000000"/>
        </w:rPr>
        <w:t>7</w:t>
      </w:r>
      <w:r w:rsidRPr="00FB2701">
        <w:rPr>
          <w:rFonts w:cs="Verdana"/>
          <w:b/>
          <w:bCs/>
          <w:color w:val="000000"/>
        </w:rPr>
        <w:t xml:space="preserve">: </w:t>
      </w:r>
      <w:r w:rsidR="008B6688">
        <w:rPr>
          <w:rFonts w:cs="Verdana"/>
          <w:b/>
          <w:bCs/>
          <w:color w:val="000000"/>
        </w:rPr>
        <w:t>Expanding</w:t>
      </w:r>
      <w:r>
        <w:rPr>
          <w:rFonts w:cs="Verdana"/>
          <w:b/>
          <w:bCs/>
          <w:color w:val="000000"/>
        </w:rPr>
        <w:t xml:space="preserve"> Gender Indicators</w:t>
      </w:r>
      <w:r w:rsidR="002C60D9">
        <w:rPr>
          <w:rFonts w:cs="Verdana"/>
          <w:b/>
          <w:bCs/>
          <w:color w:val="000000"/>
        </w:rPr>
        <w:br/>
      </w:r>
    </w:p>
    <w:p w:rsidR="002C60D9" w:rsidRPr="002C60D9" w:rsidRDefault="002C60D9" w:rsidP="00FB2701">
      <w:pPr>
        <w:autoSpaceDE w:val="0"/>
        <w:autoSpaceDN w:val="0"/>
        <w:adjustRightInd w:val="0"/>
        <w:ind w:left="720" w:hanging="720"/>
        <w:rPr>
          <w:rFonts w:cs="Helv"/>
          <w:b/>
          <w:color w:val="000000"/>
        </w:rPr>
      </w:pPr>
      <w:r w:rsidRPr="002C60D9">
        <w:rPr>
          <w:rFonts w:cs="Helv"/>
          <w:b/>
          <w:color w:val="000000"/>
        </w:rPr>
        <w:t>Question for members:</w:t>
      </w:r>
    </w:p>
    <w:p w:rsidR="006F2F2D" w:rsidRPr="002C60D9" w:rsidRDefault="002C60D9" w:rsidP="002C60D9">
      <w:pPr>
        <w:pStyle w:val="ListParagraph"/>
        <w:numPr>
          <w:ilvl w:val="0"/>
          <w:numId w:val="18"/>
        </w:numPr>
        <w:autoSpaceDE w:val="0"/>
        <w:autoSpaceDN w:val="0"/>
        <w:adjustRightInd w:val="0"/>
        <w:spacing w:after="0" w:line="240" w:lineRule="auto"/>
        <w:rPr>
          <w:rFonts w:cs="Helv"/>
          <w:color w:val="000000"/>
        </w:rPr>
      </w:pPr>
      <w:r>
        <w:rPr>
          <w:rFonts w:cs="Helv"/>
          <w:i/>
          <w:color w:val="000000"/>
        </w:rPr>
        <w:t>Do members have a</w:t>
      </w:r>
      <w:r w:rsidR="00724E0B" w:rsidRPr="002C60D9">
        <w:rPr>
          <w:rFonts w:cs="Helv"/>
          <w:i/>
          <w:color w:val="000000"/>
        </w:rPr>
        <w:t xml:space="preserve">ny comments on the project outline expanding Gender Indicators to report data for Aboriginal and Torres Strait Islanders, Culturally and </w:t>
      </w:r>
      <w:proofErr w:type="spellStart"/>
      <w:r w:rsidR="00724E0B" w:rsidRPr="002C60D9">
        <w:rPr>
          <w:rFonts w:cs="Helv"/>
          <w:i/>
          <w:color w:val="000000"/>
        </w:rPr>
        <w:t>Liguistically</w:t>
      </w:r>
      <w:proofErr w:type="spellEnd"/>
      <w:r w:rsidR="00724E0B" w:rsidRPr="002C60D9">
        <w:rPr>
          <w:rFonts w:cs="Helv"/>
          <w:i/>
          <w:color w:val="000000"/>
        </w:rPr>
        <w:t xml:space="preserve"> Diverse people and people with a disability</w:t>
      </w:r>
      <w:r w:rsidR="006F2F2D" w:rsidRPr="002C60D9">
        <w:rPr>
          <w:rFonts w:cs="Helv"/>
          <w:i/>
          <w:color w:val="000000"/>
        </w:rPr>
        <w:t xml:space="preserve">? </w:t>
      </w:r>
    </w:p>
    <w:p w:rsidR="00DA6C7C" w:rsidRPr="00DA6C7C" w:rsidRDefault="00DA6C7C" w:rsidP="00DA6C7C">
      <w:pPr>
        <w:autoSpaceDE w:val="0"/>
        <w:autoSpaceDN w:val="0"/>
        <w:adjustRightInd w:val="0"/>
        <w:spacing w:after="0" w:line="240" w:lineRule="auto"/>
        <w:rPr>
          <w:rFonts w:cs="Arial"/>
          <w:b/>
          <w:bCs/>
          <w:color w:val="000000"/>
        </w:rPr>
      </w:pPr>
    </w:p>
    <w:p w:rsidR="00FB2701" w:rsidRDefault="00FB2701" w:rsidP="00FB2701">
      <w:pPr>
        <w:autoSpaceDE w:val="0"/>
        <w:autoSpaceDN w:val="0"/>
        <w:adjustRightInd w:val="0"/>
        <w:spacing w:after="0" w:line="240" w:lineRule="auto"/>
        <w:rPr>
          <w:rFonts w:cs="Arial"/>
          <w:b/>
          <w:bCs/>
          <w:color w:val="000000"/>
        </w:rPr>
      </w:pPr>
      <w:r w:rsidRPr="00FB2701">
        <w:rPr>
          <w:rFonts w:cs="Arial"/>
          <w:b/>
          <w:bCs/>
          <w:color w:val="000000"/>
        </w:rPr>
        <w:t>Introduction</w:t>
      </w:r>
    </w:p>
    <w:p w:rsidR="00237740" w:rsidRPr="00FB2701" w:rsidRDefault="00237740" w:rsidP="00FB2701">
      <w:pPr>
        <w:autoSpaceDE w:val="0"/>
        <w:autoSpaceDN w:val="0"/>
        <w:adjustRightInd w:val="0"/>
        <w:spacing w:after="0" w:line="240" w:lineRule="auto"/>
        <w:rPr>
          <w:rFonts w:cs="Arial"/>
          <w:b/>
          <w:bCs/>
          <w:color w:val="000000"/>
        </w:rPr>
      </w:pPr>
    </w:p>
    <w:p w:rsidR="00FB2701" w:rsidRPr="00FB2701" w:rsidRDefault="00713A5D" w:rsidP="00FB2701">
      <w:pPr>
        <w:autoSpaceDE w:val="0"/>
        <w:autoSpaceDN w:val="0"/>
        <w:adjustRightInd w:val="0"/>
        <w:spacing w:after="0" w:line="240" w:lineRule="auto"/>
        <w:rPr>
          <w:rFonts w:cs="Arial"/>
          <w:color w:val="000000"/>
        </w:rPr>
      </w:pPr>
      <w:r>
        <w:rPr>
          <w:rFonts w:cs="Arial"/>
          <w:color w:val="000000"/>
        </w:rPr>
        <w:t>The ABS has released</w:t>
      </w:r>
      <w:r w:rsidR="00FB2701" w:rsidRPr="00FB2701">
        <w:rPr>
          <w:rFonts w:cs="Arial"/>
          <w:color w:val="000000"/>
        </w:rPr>
        <w:t xml:space="preserve"> Gender Indica</w:t>
      </w:r>
      <w:r w:rsidR="00AF52BB">
        <w:rPr>
          <w:rFonts w:cs="Arial"/>
          <w:color w:val="000000"/>
        </w:rPr>
        <w:t xml:space="preserve">tors, Australia (cat no 4125.0) </w:t>
      </w:r>
      <w:r>
        <w:rPr>
          <w:rFonts w:cs="Arial"/>
          <w:color w:val="000000"/>
        </w:rPr>
        <w:t xml:space="preserve">twice yearly </w:t>
      </w:r>
      <w:r w:rsidR="00FB2701" w:rsidRPr="00FB2701">
        <w:rPr>
          <w:rFonts w:cs="Arial"/>
          <w:color w:val="000000"/>
        </w:rPr>
        <w:t xml:space="preserve">since August 2011. The indicators presented in this product were designed to assist and inform government policy, by helping decision makers to develop, monitor and evaluate policies and programs aimed at achieving gender equality. It is a useful base for supporting analysis and monitoring the outcomes of </w:t>
      </w:r>
      <w:r>
        <w:rPr>
          <w:rFonts w:cs="Arial"/>
          <w:color w:val="000000"/>
        </w:rPr>
        <w:t>Australian men and women</w:t>
      </w:r>
      <w:r w:rsidR="00FB2701" w:rsidRPr="00FB2701">
        <w:rPr>
          <w:rFonts w:cs="Arial"/>
          <w:color w:val="000000"/>
        </w:rPr>
        <w:t xml:space="preserve">. The next release </w:t>
      </w:r>
      <w:r>
        <w:rPr>
          <w:rFonts w:cs="Arial"/>
          <w:color w:val="000000"/>
        </w:rPr>
        <w:t xml:space="preserve">is </w:t>
      </w:r>
      <w:r w:rsidR="00FB2701" w:rsidRPr="00FB2701">
        <w:rPr>
          <w:rFonts w:cs="Arial"/>
          <w:color w:val="000000"/>
        </w:rPr>
        <w:t>scheduled for 26 August 2014.</w:t>
      </w:r>
      <w:r w:rsidR="00FB2701" w:rsidRPr="00FB2701">
        <w:rPr>
          <w:rFonts w:cs="Arial"/>
          <w:color w:val="000000"/>
        </w:rPr>
        <w:br/>
      </w:r>
      <w:r w:rsidR="00FB2701" w:rsidRPr="00FB2701">
        <w:rPr>
          <w:rFonts w:cs="Arial"/>
          <w:color w:val="000000"/>
        </w:rPr>
        <w:br/>
        <w:t xml:space="preserve">In 2013-14, </w:t>
      </w:r>
      <w:r w:rsidR="00FB2701" w:rsidRPr="002C60D9">
        <w:rPr>
          <w:rFonts w:cs="Arial"/>
        </w:rPr>
        <w:t xml:space="preserve">with </w:t>
      </w:r>
      <w:r w:rsidR="00B11830" w:rsidRPr="002C60D9">
        <w:rPr>
          <w:rFonts w:cs="Arial"/>
        </w:rPr>
        <w:t xml:space="preserve">funding </w:t>
      </w:r>
      <w:r w:rsidR="00E93178">
        <w:rPr>
          <w:rFonts w:cs="Arial"/>
        </w:rPr>
        <w:t xml:space="preserve">support </w:t>
      </w:r>
      <w:r w:rsidR="00B11830" w:rsidRPr="002C60D9">
        <w:rPr>
          <w:rFonts w:cs="Arial"/>
        </w:rPr>
        <w:t>from the Office for Women</w:t>
      </w:r>
      <w:r w:rsidR="00FB2701" w:rsidRPr="002C60D9">
        <w:rPr>
          <w:rFonts w:cs="Arial"/>
        </w:rPr>
        <w:t xml:space="preserve">, </w:t>
      </w:r>
      <w:r w:rsidR="00FB2701" w:rsidRPr="00FB2701">
        <w:rPr>
          <w:rFonts w:cs="Arial"/>
          <w:color w:val="000000"/>
        </w:rPr>
        <w:t>ABS conducted a project to examine the feasibility of expanding gender indicators reporting to culturally and linguist</w:t>
      </w:r>
      <w:r w:rsidR="00631ED9">
        <w:rPr>
          <w:rFonts w:cs="Arial"/>
          <w:color w:val="000000"/>
        </w:rPr>
        <w:t>ically diverse (CALD) people</w:t>
      </w:r>
      <w:r w:rsidR="00FB2701" w:rsidRPr="00FB2701">
        <w:rPr>
          <w:rFonts w:cs="Arial"/>
          <w:color w:val="000000"/>
        </w:rPr>
        <w:t>,</w:t>
      </w:r>
      <w:r w:rsidR="00631ED9">
        <w:rPr>
          <w:rFonts w:cs="Arial"/>
          <w:color w:val="000000"/>
        </w:rPr>
        <w:t xml:space="preserve"> </w:t>
      </w:r>
      <w:r w:rsidR="00FB2701" w:rsidRPr="00FB2701">
        <w:rPr>
          <w:rFonts w:cs="Arial"/>
          <w:color w:val="000000"/>
        </w:rPr>
        <w:t xml:space="preserve">Aboriginal and Torres Strait Islander peoples and those with a disability. </w:t>
      </w:r>
    </w:p>
    <w:p w:rsidR="00FB2701" w:rsidRPr="00FB2701" w:rsidRDefault="00FB2701" w:rsidP="00FB2701">
      <w:pPr>
        <w:autoSpaceDE w:val="0"/>
        <w:autoSpaceDN w:val="0"/>
        <w:adjustRightInd w:val="0"/>
        <w:spacing w:after="0" w:line="240" w:lineRule="auto"/>
        <w:rPr>
          <w:rFonts w:cs="Arial"/>
          <w:color w:val="000000"/>
        </w:rPr>
      </w:pPr>
    </w:p>
    <w:p w:rsidR="006F2F2D" w:rsidRPr="00FB2701" w:rsidRDefault="00713A5D" w:rsidP="00FB2701">
      <w:pPr>
        <w:autoSpaceDE w:val="0"/>
        <w:autoSpaceDN w:val="0"/>
        <w:adjustRightInd w:val="0"/>
        <w:spacing w:after="0" w:line="240" w:lineRule="auto"/>
        <w:rPr>
          <w:rFonts w:cs="Arial"/>
          <w:color w:val="000000"/>
        </w:rPr>
      </w:pPr>
      <w:r>
        <w:rPr>
          <w:rFonts w:cs="Arial"/>
          <w:color w:val="000000"/>
        </w:rPr>
        <w:t xml:space="preserve">There is increasing </w:t>
      </w:r>
      <w:r w:rsidR="00FB2701" w:rsidRPr="00FB2701">
        <w:rPr>
          <w:rFonts w:cs="Arial"/>
          <w:color w:val="000000"/>
        </w:rPr>
        <w:t xml:space="preserve">demand for </w:t>
      </w:r>
      <w:r>
        <w:rPr>
          <w:rFonts w:cs="Arial"/>
          <w:color w:val="000000"/>
        </w:rPr>
        <w:t xml:space="preserve">reported </w:t>
      </w:r>
      <w:r w:rsidR="00FB2701" w:rsidRPr="00FB2701">
        <w:rPr>
          <w:rFonts w:cs="Arial"/>
          <w:color w:val="000000"/>
        </w:rPr>
        <w:t>data on these sub-populations. Over the past few years Australian Governments have sought to develop policies aimed at both social inclusion and improving the nation's productivity. Effective policies will require good data. An expanded disaggregation of Gender Indicators can assist in providing indicators for men and women affected by characteristics other than gender such as ethnicity, immigration status and disability.</w:t>
      </w:r>
    </w:p>
    <w:p w:rsidR="00AE68B0" w:rsidRPr="00041236" w:rsidRDefault="00AE68B0" w:rsidP="00AE68B0">
      <w:pPr>
        <w:numPr>
          <w:ilvl w:val="0"/>
          <w:numId w:val="9"/>
        </w:numPr>
        <w:spacing w:before="240" w:after="240" w:line="240" w:lineRule="auto"/>
        <w:ind w:left="0" w:firstLine="0"/>
        <w:rPr>
          <w:b/>
        </w:rPr>
      </w:pPr>
      <w:r>
        <w:rPr>
          <w:b/>
        </w:rPr>
        <w:t>Project Outline</w:t>
      </w:r>
    </w:p>
    <w:p w:rsidR="00FB2701" w:rsidRDefault="00FB2701" w:rsidP="00FB2701">
      <w:pPr>
        <w:autoSpaceDE w:val="0"/>
        <w:autoSpaceDN w:val="0"/>
        <w:adjustRightInd w:val="0"/>
        <w:spacing w:after="0" w:line="240" w:lineRule="auto"/>
        <w:rPr>
          <w:rFonts w:cs="Helv"/>
          <w:color w:val="000000"/>
        </w:rPr>
      </w:pPr>
      <w:r w:rsidRPr="00FB2701">
        <w:rPr>
          <w:rFonts w:cs="Helv"/>
          <w:color w:val="000000"/>
        </w:rPr>
        <w:t xml:space="preserve">In  phase one of this project we have examined both ABS and non-ABS data sources used in the Gender Indicators product to identify which can </w:t>
      </w:r>
      <w:r w:rsidR="00BF7189">
        <w:rPr>
          <w:rFonts w:cs="Helv"/>
          <w:color w:val="000000"/>
        </w:rPr>
        <w:t xml:space="preserve">be used to </w:t>
      </w:r>
      <w:r w:rsidRPr="00FB2701">
        <w:rPr>
          <w:rFonts w:cs="Helv"/>
          <w:color w:val="000000"/>
        </w:rPr>
        <w:t xml:space="preserve">report </w:t>
      </w:r>
      <w:r w:rsidR="00BF7189">
        <w:rPr>
          <w:rFonts w:cs="Helv"/>
          <w:color w:val="000000"/>
        </w:rPr>
        <w:t xml:space="preserve">more detailed data </w:t>
      </w:r>
      <w:r w:rsidRPr="00FB2701">
        <w:rPr>
          <w:rFonts w:cs="Helv"/>
          <w:color w:val="000000"/>
        </w:rPr>
        <w:t>by CALD, Aboriginal and Torres Strait Islander status and for those with a disability</w:t>
      </w:r>
      <w:r w:rsidR="00BF7189">
        <w:rPr>
          <w:rFonts w:cs="Helv"/>
          <w:color w:val="000000"/>
        </w:rPr>
        <w:t>, where necessary.</w:t>
      </w:r>
      <w:r w:rsidRPr="00FB2701">
        <w:rPr>
          <w:rFonts w:cs="Helv"/>
          <w:color w:val="000000"/>
        </w:rPr>
        <w:t xml:space="preserve">  We have also identified data sources not used in Gender Indicators which may be able to report on these sub-populations. It should be noted that while potential data sources have been identified, more work is needed to decide whether these disaggregated populations are sufficiently robust to enable reporting. This work will form part of phase two.</w:t>
      </w:r>
    </w:p>
    <w:p w:rsidR="006B17A3" w:rsidRDefault="006B17A3" w:rsidP="00FB2701">
      <w:pPr>
        <w:autoSpaceDE w:val="0"/>
        <w:autoSpaceDN w:val="0"/>
        <w:adjustRightInd w:val="0"/>
        <w:spacing w:after="0" w:line="240" w:lineRule="auto"/>
        <w:rPr>
          <w:rFonts w:cs="Helv"/>
          <w:color w:val="000000"/>
        </w:rPr>
      </w:pPr>
    </w:p>
    <w:p w:rsidR="006B17A3" w:rsidRPr="00FB2701" w:rsidRDefault="006B17A3" w:rsidP="006B17A3">
      <w:pPr>
        <w:autoSpaceDE w:val="0"/>
        <w:autoSpaceDN w:val="0"/>
        <w:adjustRightInd w:val="0"/>
        <w:spacing w:after="0" w:line="240" w:lineRule="auto"/>
        <w:rPr>
          <w:rFonts w:cs="Helv"/>
          <w:color w:val="000000"/>
        </w:rPr>
      </w:pPr>
      <w:r w:rsidRPr="00FB2701">
        <w:rPr>
          <w:rFonts w:cs="Helv"/>
          <w:color w:val="000000"/>
        </w:rPr>
        <w:t>We have</w:t>
      </w:r>
      <w:r>
        <w:rPr>
          <w:rFonts w:cs="Helv"/>
          <w:color w:val="000000"/>
        </w:rPr>
        <w:t xml:space="preserve"> also</w:t>
      </w:r>
      <w:r w:rsidRPr="00FB2701">
        <w:rPr>
          <w:rFonts w:cs="Helv"/>
          <w:color w:val="000000"/>
        </w:rPr>
        <w:t xml:space="preserve"> met with ABS subject matter experts in the Migrant, Disability and Indigenous statistics to keep them informed of this project and explore what assistance may be available. We will continue to liaise as the project goes forward and expect that they will be able to assist with data and useful intelligence regarding data comparability from different sources.</w:t>
      </w:r>
    </w:p>
    <w:p w:rsidR="006B17A3" w:rsidRPr="00FB2701" w:rsidRDefault="006B17A3" w:rsidP="00FB2701">
      <w:pPr>
        <w:autoSpaceDE w:val="0"/>
        <w:autoSpaceDN w:val="0"/>
        <w:adjustRightInd w:val="0"/>
        <w:spacing w:after="0" w:line="240" w:lineRule="auto"/>
        <w:rPr>
          <w:rFonts w:cs="Helv"/>
          <w:color w:val="000000"/>
        </w:rPr>
      </w:pPr>
    </w:p>
    <w:p w:rsidR="002C60D9" w:rsidRDefault="002C60D9">
      <w:pPr>
        <w:rPr>
          <w:b/>
        </w:rPr>
      </w:pPr>
      <w:r>
        <w:rPr>
          <w:b/>
        </w:rPr>
        <w:br w:type="page"/>
      </w:r>
    </w:p>
    <w:p w:rsidR="00FB2701" w:rsidRDefault="004F376A" w:rsidP="004F376A">
      <w:pPr>
        <w:numPr>
          <w:ilvl w:val="0"/>
          <w:numId w:val="9"/>
        </w:numPr>
        <w:spacing w:before="240" w:after="240" w:line="240" w:lineRule="auto"/>
        <w:ind w:left="0" w:firstLine="0"/>
        <w:rPr>
          <w:b/>
        </w:rPr>
      </w:pPr>
      <w:r>
        <w:rPr>
          <w:b/>
        </w:rPr>
        <w:lastRenderedPageBreak/>
        <w:t>Definitions</w:t>
      </w:r>
    </w:p>
    <w:p w:rsidR="00DA6C7C" w:rsidRPr="00DA6C7C" w:rsidRDefault="00DA6C7C" w:rsidP="00DA6C7C">
      <w:pPr>
        <w:autoSpaceDE w:val="0"/>
        <w:autoSpaceDN w:val="0"/>
        <w:adjustRightInd w:val="0"/>
        <w:spacing w:after="0" w:line="240" w:lineRule="auto"/>
        <w:rPr>
          <w:rFonts w:cs="Arial"/>
          <w:b/>
          <w:bCs/>
          <w:color w:val="000000"/>
        </w:rPr>
      </w:pPr>
      <w:r w:rsidRPr="00DA6C7C">
        <w:rPr>
          <w:rFonts w:cs="Helv"/>
          <w:color w:val="000000"/>
        </w:rPr>
        <w:t xml:space="preserve">It </w:t>
      </w:r>
      <w:r>
        <w:rPr>
          <w:rFonts w:cs="Helv"/>
          <w:color w:val="000000"/>
        </w:rPr>
        <w:t xml:space="preserve">is important to </w:t>
      </w:r>
      <w:r w:rsidRPr="00DA6C7C">
        <w:rPr>
          <w:rFonts w:cs="Helv"/>
          <w:color w:val="000000"/>
        </w:rPr>
        <w:t>agree on transparent and clear definitions for each sub</w:t>
      </w:r>
      <w:r>
        <w:rPr>
          <w:rFonts w:cs="Helv"/>
          <w:color w:val="000000"/>
        </w:rPr>
        <w:t>-</w:t>
      </w:r>
      <w:r w:rsidRPr="00DA6C7C">
        <w:rPr>
          <w:rFonts w:cs="Helv"/>
          <w:color w:val="000000"/>
        </w:rPr>
        <w:t>population so there can be a common understanding of the terminology</w:t>
      </w:r>
      <w:r>
        <w:rPr>
          <w:rFonts w:cs="Helv"/>
          <w:color w:val="000000"/>
        </w:rPr>
        <w:t xml:space="preserve"> and a common approach can be used to report each of the gender indicators.  Definitions are proposed below for each of the sub-populations.</w:t>
      </w:r>
    </w:p>
    <w:p w:rsidR="00895466" w:rsidRPr="00895466" w:rsidRDefault="00DA6C7C" w:rsidP="00FB2701">
      <w:pPr>
        <w:autoSpaceDE w:val="0"/>
        <w:autoSpaceDN w:val="0"/>
        <w:adjustRightInd w:val="0"/>
        <w:spacing w:after="0" w:line="240" w:lineRule="auto"/>
        <w:rPr>
          <w:rFonts w:cs="Arial"/>
          <w:b/>
          <w:color w:val="000000"/>
        </w:rPr>
      </w:pPr>
      <w:r>
        <w:rPr>
          <w:rFonts w:cs="Arial"/>
          <w:b/>
          <w:bCs/>
          <w:color w:val="000000"/>
        </w:rPr>
        <w:br/>
      </w:r>
      <w:r w:rsidR="00895466" w:rsidRPr="00895466">
        <w:rPr>
          <w:rFonts w:cs="Arial"/>
          <w:b/>
          <w:color w:val="000000"/>
        </w:rPr>
        <w:t>Aboriginal and Torres Strait Islander peoples</w:t>
      </w:r>
    </w:p>
    <w:p w:rsidR="00895466" w:rsidRDefault="0089153B" w:rsidP="00FB2701">
      <w:pPr>
        <w:autoSpaceDE w:val="0"/>
        <w:autoSpaceDN w:val="0"/>
        <w:adjustRightInd w:val="0"/>
        <w:spacing w:after="0" w:line="240" w:lineRule="auto"/>
        <w:rPr>
          <w:rFonts w:cs="Arial"/>
          <w:color w:val="000000"/>
        </w:rPr>
      </w:pPr>
      <w:r>
        <w:rPr>
          <w:rFonts w:cs="Arial"/>
          <w:color w:val="000000"/>
        </w:rPr>
        <w:t xml:space="preserve">The definition for this sub-population is consistent with the national standards, that is, Aboriginal and Torres Strait Islander peoples include those people identifying as Aboriginal or Torres Strait Islander or both.  </w:t>
      </w:r>
      <w:r w:rsidR="00895466">
        <w:rPr>
          <w:rFonts w:cs="Arial"/>
          <w:color w:val="000000"/>
        </w:rPr>
        <w:t>Gender Indicators</w:t>
      </w:r>
      <w:r w:rsidR="00895466" w:rsidRPr="00895466">
        <w:rPr>
          <w:rFonts w:cs="Arial"/>
          <w:color w:val="000000"/>
        </w:rPr>
        <w:t xml:space="preserve"> </w:t>
      </w:r>
      <w:r w:rsidR="00895466">
        <w:rPr>
          <w:rFonts w:cs="Arial"/>
          <w:color w:val="000000"/>
        </w:rPr>
        <w:t>includes</w:t>
      </w:r>
      <w:r w:rsidR="00895466" w:rsidRPr="00FB2701">
        <w:rPr>
          <w:rFonts w:cs="Arial"/>
          <w:color w:val="000000"/>
        </w:rPr>
        <w:t xml:space="preserve"> </w:t>
      </w:r>
      <w:r w:rsidR="00895466">
        <w:rPr>
          <w:rFonts w:cs="Arial"/>
          <w:color w:val="000000"/>
        </w:rPr>
        <w:t>indicators</w:t>
      </w:r>
      <w:r w:rsidR="00895466" w:rsidRPr="00FB2701">
        <w:rPr>
          <w:rFonts w:cs="Arial"/>
          <w:color w:val="000000"/>
        </w:rPr>
        <w:t xml:space="preserve"> for this sub-population in the Health</w:t>
      </w:r>
      <w:r w:rsidR="00014AF7">
        <w:rPr>
          <w:rFonts w:cs="Arial"/>
          <w:color w:val="000000"/>
        </w:rPr>
        <w:t xml:space="preserve"> </w:t>
      </w:r>
      <w:r w:rsidR="00895466">
        <w:rPr>
          <w:rFonts w:cs="Arial"/>
          <w:color w:val="000000"/>
        </w:rPr>
        <w:t>(8),</w:t>
      </w:r>
      <w:r w:rsidR="00895466" w:rsidRPr="00FB2701">
        <w:rPr>
          <w:rFonts w:cs="Arial"/>
          <w:color w:val="000000"/>
        </w:rPr>
        <w:t xml:space="preserve"> Education</w:t>
      </w:r>
      <w:r w:rsidR="00014AF7">
        <w:rPr>
          <w:rFonts w:cs="Arial"/>
          <w:color w:val="000000"/>
        </w:rPr>
        <w:t xml:space="preserve"> </w:t>
      </w:r>
      <w:r w:rsidR="00895466">
        <w:rPr>
          <w:rFonts w:cs="Arial"/>
          <w:color w:val="000000"/>
        </w:rPr>
        <w:t>(6) and Safety and Justice</w:t>
      </w:r>
      <w:r w:rsidR="00014AF7">
        <w:rPr>
          <w:rFonts w:cs="Arial"/>
          <w:color w:val="000000"/>
        </w:rPr>
        <w:t xml:space="preserve"> </w:t>
      </w:r>
      <w:r w:rsidR="00895466">
        <w:rPr>
          <w:rFonts w:cs="Arial"/>
          <w:color w:val="000000"/>
        </w:rPr>
        <w:t>(2)</w:t>
      </w:r>
      <w:r w:rsidR="00895466" w:rsidRPr="00FB2701">
        <w:rPr>
          <w:rFonts w:cs="Arial"/>
          <w:color w:val="000000"/>
        </w:rPr>
        <w:t xml:space="preserve"> domains using data from the National Aboriginal and Torres Strait Islander Social Survey (NATSISS) and the National Aboriginal</w:t>
      </w:r>
      <w:r w:rsidR="00895466">
        <w:rPr>
          <w:rFonts w:cs="Arial"/>
          <w:color w:val="000000"/>
        </w:rPr>
        <w:t xml:space="preserve"> and Torres</w:t>
      </w:r>
      <w:r w:rsidR="00895466" w:rsidRPr="00895466">
        <w:rPr>
          <w:rFonts w:cs="Arial"/>
          <w:color w:val="000000"/>
        </w:rPr>
        <w:t xml:space="preserve"> </w:t>
      </w:r>
      <w:r w:rsidR="00895466" w:rsidRPr="00FB2701">
        <w:rPr>
          <w:rFonts w:cs="Arial"/>
          <w:color w:val="000000"/>
        </w:rPr>
        <w:t>Strait Islander Health Survey (NATSIHS). These two surveys along with the Census of Population and Housing are the key data sources for Aboriginal and Torres Strait Islander peoples. The ABS will undertake further analysis to highlight data gaps and propose alternative</w:t>
      </w:r>
      <w:r w:rsidR="00895466">
        <w:rPr>
          <w:rFonts w:cs="Arial"/>
          <w:color w:val="000000"/>
        </w:rPr>
        <w:t xml:space="preserve"> sources where required.</w:t>
      </w:r>
    </w:p>
    <w:p w:rsidR="00FB2701" w:rsidRDefault="00FB2701" w:rsidP="00FB2701">
      <w:pPr>
        <w:autoSpaceDE w:val="0"/>
        <w:autoSpaceDN w:val="0"/>
        <w:adjustRightInd w:val="0"/>
        <w:spacing w:after="0" w:line="240" w:lineRule="auto"/>
        <w:rPr>
          <w:rFonts w:cs="Arial"/>
          <w:color w:val="000000"/>
        </w:rPr>
      </w:pPr>
    </w:p>
    <w:p w:rsidR="0089153B" w:rsidRPr="006F4594" w:rsidRDefault="0089153B" w:rsidP="0089153B">
      <w:pPr>
        <w:autoSpaceDE w:val="0"/>
        <w:autoSpaceDN w:val="0"/>
        <w:adjustRightInd w:val="0"/>
        <w:spacing w:after="0" w:line="240" w:lineRule="auto"/>
        <w:rPr>
          <w:rFonts w:cs="Arial"/>
          <w:b/>
          <w:bCs/>
          <w:color w:val="000000"/>
        </w:rPr>
      </w:pPr>
      <w:r w:rsidRPr="00FB2701">
        <w:rPr>
          <w:rFonts w:cs="Arial"/>
          <w:b/>
          <w:bCs/>
          <w:color w:val="000000"/>
        </w:rPr>
        <w:t>Culturally and Linguistically Diverse (CALD) population</w:t>
      </w:r>
    </w:p>
    <w:p w:rsidR="00907DD2" w:rsidRDefault="0089153B" w:rsidP="00907DD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r w:rsidRPr="00FB2701">
        <w:rPr>
          <w:rFonts w:cs="Helv"/>
          <w:color w:val="000000"/>
        </w:rPr>
        <w:t xml:space="preserve">In relation to the definition of CALD, there are several possible definitions, including year of arrival in Australia, main language other than English spoken at home, proficiency in English or birthplace.  Whilst country of birth is routinely collected in ABS social surveys, the other options are not. At this stage, we have used Country of Birth for the purposes of the project- those born overseas are defined as CALD </w:t>
      </w:r>
      <w:r>
        <w:rPr>
          <w:rFonts w:cs="Helv"/>
          <w:color w:val="000000"/>
        </w:rPr>
        <w:t xml:space="preserve">peoples </w:t>
      </w:r>
      <w:r w:rsidRPr="00FB2701">
        <w:rPr>
          <w:rFonts w:cs="Helv"/>
          <w:color w:val="000000"/>
        </w:rPr>
        <w:t>and those born in Australia are not</w:t>
      </w:r>
      <w:r>
        <w:rPr>
          <w:rFonts w:cs="Helv"/>
          <w:color w:val="000000"/>
        </w:rPr>
        <w:t xml:space="preserve"> CALD peoples</w:t>
      </w:r>
      <w:r w:rsidRPr="00FB2701">
        <w:rPr>
          <w:rFonts w:cs="Helv"/>
          <w:color w:val="000000"/>
        </w:rPr>
        <w:t xml:space="preserve">. </w:t>
      </w:r>
      <w:r>
        <w:rPr>
          <w:rFonts w:cs="Helv"/>
          <w:color w:val="000000"/>
        </w:rPr>
        <w:t xml:space="preserve"> </w:t>
      </w:r>
      <w:r w:rsidR="00907DD2">
        <w:rPr>
          <w:rFonts w:cs="Helv"/>
          <w:color w:val="000000"/>
        </w:rPr>
        <w:t xml:space="preserve">It is noted that the Department of Health use the same definition for </w:t>
      </w:r>
      <w:hyperlink r:id="rId5" w:history="1">
        <w:r w:rsidR="00907DD2">
          <w:rPr>
            <w:rFonts w:ascii="Helv" w:hAnsi="Helv" w:cs="Helv"/>
            <w:color w:val="0000FF"/>
            <w:sz w:val="20"/>
            <w:szCs w:val="20"/>
          </w:rPr>
          <w:t>CALD</w:t>
        </w:r>
      </w:hyperlink>
      <w:r w:rsidR="00907DD2">
        <w:rPr>
          <w:rFonts w:cs="Helv"/>
          <w:color w:val="000000"/>
        </w:rPr>
        <w:t xml:space="preserve">.  </w:t>
      </w:r>
    </w:p>
    <w:p w:rsidR="00907DD2" w:rsidRDefault="00907DD2" w:rsidP="0089153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Helv"/>
          <w:color w:val="000000"/>
        </w:rPr>
      </w:pPr>
    </w:p>
    <w:p w:rsidR="0089153B" w:rsidRPr="00FB2701" w:rsidRDefault="0089153B" w:rsidP="0089153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rPr>
      </w:pPr>
      <w:r>
        <w:rPr>
          <w:rFonts w:cs="Helv"/>
          <w:color w:val="000000"/>
        </w:rPr>
        <w:t>From t</w:t>
      </w:r>
      <w:r w:rsidRPr="00FB2701">
        <w:rPr>
          <w:rFonts w:cs="Arial"/>
          <w:color w:val="000000"/>
        </w:rPr>
        <w:t>he 2011 Census of Populati</w:t>
      </w:r>
      <w:r>
        <w:rPr>
          <w:rFonts w:cs="Arial"/>
          <w:color w:val="000000"/>
        </w:rPr>
        <w:t>on and Housing, we know almost 25%</w:t>
      </w:r>
      <w:r w:rsidRPr="00FB2701">
        <w:rPr>
          <w:rFonts w:cs="Arial"/>
          <w:color w:val="000000"/>
        </w:rPr>
        <w:t xml:space="preserve"> of the Australian population was born overseas.</w:t>
      </w:r>
    </w:p>
    <w:p w:rsidR="0089153B" w:rsidRPr="00FB2701" w:rsidRDefault="0089153B" w:rsidP="0089153B">
      <w:pPr>
        <w:autoSpaceDE w:val="0"/>
        <w:autoSpaceDN w:val="0"/>
        <w:adjustRightInd w:val="0"/>
        <w:spacing w:after="0" w:line="240" w:lineRule="auto"/>
        <w:rPr>
          <w:rFonts w:cs="Helv"/>
          <w:color w:val="000000"/>
        </w:rPr>
      </w:pPr>
    </w:p>
    <w:p w:rsidR="0089153B" w:rsidRDefault="0089153B" w:rsidP="0089153B">
      <w:pPr>
        <w:autoSpaceDE w:val="0"/>
        <w:autoSpaceDN w:val="0"/>
        <w:adjustRightInd w:val="0"/>
        <w:spacing w:after="0" w:line="240" w:lineRule="auto"/>
        <w:rPr>
          <w:rFonts w:cs="Arial"/>
          <w:color w:val="000000"/>
        </w:rPr>
      </w:pPr>
      <w:r w:rsidRPr="00FB2701">
        <w:rPr>
          <w:rFonts w:cs="Arial"/>
          <w:color w:val="000000"/>
        </w:rPr>
        <w:t>Initial findings suggest that most ABS sources currently used in Gender Indicators can report on CALD people, however further investigation is needed to demonstrate suitable data quality and to explore the availability of CALD data from external administrative data sources.</w:t>
      </w:r>
      <w:r>
        <w:rPr>
          <w:rFonts w:cs="Arial"/>
          <w:color w:val="000000"/>
        </w:rPr>
        <w:t xml:space="preserve"> Currently, there are no indicators for CALD people included in the Gender product.</w:t>
      </w:r>
    </w:p>
    <w:p w:rsidR="0089153B" w:rsidRPr="00FB2701" w:rsidRDefault="0089153B" w:rsidP="00FB2701">
      <w:pPr>
        <w:autoSpaceDE w:val="0"/>
        <w:autoSpaceDN w:val="0"/>
        <w:adjustRightInd w:val="0"/>
        <w:spacing w:after="0" w:line="240" w:lineRule="auto"/>
        <w:rPr>
          <w:rFonts w:cs="Arial"/>
          <w:color w:val="000000"/>
        </w:rPr>
      </w:pPr>
    </w:p>
    <w:p w:rsidR="00FB2701" w:rsidRPr="00FB2701" w:rsidRDefault="00FB2701" w:rsidP="00FB2701">
      <w:pPr>
        <w:autoSpaceDE w:val="0"/>
        <w:autoSpaceDN w:val="0"/>
        <w:adjustRightInd w:val="0"/>
        <w:spacing w:after="0" w:line="240" w:lineRule="auto"/>
        <w:rPr>
          <w:rFonts w:cs="Arial"/>
          <w:b/>
          <w:bCs/>
          <w:color w:val="000000"/>
        </w:rPr>
      </w:pPr>
      <w:r w:rsidRPr="00FB2701">
        <w:rPr>
          <w:rFonts w:cs="Arial"/>
          <w:b/>
          <w:bCs/>
          <w:color w:val="000000"/>
        </w:rPr>
        <w:t>People with a Disability</w:t>
      </w:r>
    </w:p>
    <w:p w:rsidR="00FB2701" w:rsidRPr="00FB2701" w:rsidRDefault="0089153B" w:rsidP="00FB2701">
      <w:pPr>
        <w:autoSpaceDE w:val="0"/>
        <w:autoSpaceDN w:val="0"/>
        <w:adjustRightInd w:val="0"/>
        <w:spacing w:after="0" w:line="240" w:lineRule="auto"/>
        <w:rPr>
          <w:rFonts w:cs="Helv"/>
          <w:color w:val="000000"/>
        </w:rPr>
      </w:pPr>
      <w:r>
        <w:rPr>
          <w:rFonts w:cs="Helv"/>
          <w:color w:val="000000"/>
        </w:rPr>
        <w:t>At this stage, we have examined the availability of data which reports ‘with or without a disability’.  However, a</w:t>
      </w:r>
      <w:r w:rsidR="00FB2701" w:rsidRPr="00FB2701">
        <w:rPr>
          <w:rFonts w:cs="Helv"/>
          <w:color w:val="000000"/>
        </w:rPr>
        <w:t xml:space="preserve">greement </w:t>
      </w:r>
      <w:r w:rsidR="00376B7F">
        <w:rPr>
          <w:rFonts w:cs="Helv"/>
          <w:color w:val="000000"/>
        </w:rPr>
        <w:t xml:space="preserve">is needed </w:t>
      </w:r>
      <w:r w:rsidR="00FB2701" w:rsidRPr="00FB2701">
        <w:rPr>
          <w:rFonts w:cs="Helv"/>
          <w:color w:val="000000"/>
        </w:rPr>
        <w:t>on how to define ‘</w:t>
      </w:r>
      <w:r w:rsidR="00376B7F">
        <w:rPr>
          <w:rFonts w:cs="Helv"/>
          <w:color w:val="000000"/>
        </w:rPr>
        <w:t xml:space="preserve">persons </w:t>
      </w:r>
      <w:r w:rsidR="00FB2701" w:rsidRPr="00FB2701">
        <w:rPr>
          <w:rFonts w:cs="Helv"/>
          <w:color w:val="000000"/>
        </w:rPr>
        <w:t xml:space="preserve">with a disability’ for </w:t>
      </w:r>
      <w:r w:rsidR="00376B7F">
        <w:rPr>
          <w:rFonts w:cs="Helv"/>
          <w:color w:val="000000"/>
        </w:rPr>
        <w:t>this project</w:t>
      </w:r>
      <w:r w:rsidR="00FB2701" w:rsidRPr="00FB2701">
        <w:rPr>
          <w:rFonts w:cs="Helv"/>
          <w:color w:val="000000"/>
        </w:rPr>
        <w:t>.  ABS surveys use the following definition of disability:</w:t>
      </w:r>
    </w:p>
    <w:p w:rsidR="00FB2701" w:rsidRPr="00FB2701" w:rsidRDefault="00FB2701" w:rsidP="00FB2701">
      <w:pPr>
        <w:autoSpaceDE w:val="0"/>
        <w:autoSpaceDN w:val="0"/>
        <w:adjustRightInd w:val="0"/>
        <w:spacing w:after="0" w:line="240" w:lineRule="auto"/>
        <w:ind w:left="709" w:hanging="709"/>
        <w:rPr>
          <w:rFonts w:cs="Helv"/>
          <w:i/>
          <w:iCs/>
          <w:color w:val="000000"/>
        </w:rPr>
      </w:pPr>
      <w:r w:rsidRPr="00FB2701">
        <w:rPr>
          <w:rFonts w:cs="Helv"/>
          <w:i/>
          <w:iCs/>
          <w:color w:val="000000"/>
        </w:rPr>
        <w:tab/>
        <w:t>“</w:t>
      </w:r>
      <w:proofErr w:type="gramStart"/>
      <w:r w:rsidRPr="00FB2701">
        <w:rPr>
          <w:rFonts w:cs="Helv"/>
          <w:i/>
          <w:iCs/>
          <w:color w:val="000000"/>
        </w:rPr>
        <w:t>a</w:t>
      </w:r>
      <w:proofErr w:type="gramEnd"/>
      <w:r w:rsidRPr="00FB2701">
        <w:rPr>
          <w:rFonts w:cs="Helv"/>
          <w:i/>
          <w:iCs/>
          <w:color w:val="000000"/>
        </w:rPr>
        <w:t xml:space="preserve"> person has a disability if they report they have a limitation, restriction or impairment, which has lasted, or is likely to last, for at least six months and restricts everyday activitie</w:t>
      </w:r>
      <w:r>
        <w:rPr>
          <w:rFonts w:cs="Helv"/>
          <w:i/>
          <w:iCs/>
          <w:color w:val="000000"/>
        </w:rPr>
        <w:t>s</w:t>
      </w:r>
      <w:r w:rsidRPr="00FB2701">
        <w:rPr>
          <w:rFonts w:cs="Helv"/>
          <w:i/>
          <w:iCs/>
          <w:color w:val="000000"/>
        </w:rPr>
        <w:t>”</w:t>
      </w:r>
    </w:p>
    <w:p w:rsidR="00FB2701" w:rsidRPr="00FB2701" w:rsidRDefault="00FB2701" w:rsidP="00FB2701">
      <w:pPr>
        <w:autoSpaceDE w:val="0"/>
        <w:autoSpaceDN w:val="0"/>
        <w:adjustRightInd w:val="0"/>
        <w:spacing w:after="0" w:line="240" w:lineRule="auto"/>
        <w:rPr>
          <w:rFonts w:cs="Helv"/>
          <w:i/>
          <w:iCs/>
          <w:color w:val="000000"/>
        </w:rPr>
      </w:pPr>
    </w:p>
    <w:p w:rsidR="00FB2701" w:rsidRPr="00FB2701" w:rsidRDefault="00FB2701" w:rsidP="00FB2701">
      <w:pPr>
        <w:autoSpaceDE w:val="0"/>
        <w:autoSpaceDN w:val="0"/>
        <w:adjustRightInd w:val="0"/>
        <w:spacing w:after="0" w:line="240" w:lineRule="auto"/>
        <w:rPr>
          <w:rFonts w:cs="Helv"/>
          <w:color w:val="000000"/>
        </w:rPr>
      </w:pPr>
      <w:r w:rsidRPr="00FB2701">
        <w:rPr>
          <w:rFonts w:cs="Helv"/>
          <w:color w:val="000000"/>
        </w:rPr>
        <w:t>There are four levels of core activity limitation (profound, severe, moderate and mild) which are based on whether a person needs help, has difficulty, or uses aids or equipment with any of the core activities (self-care, mobility or communication). A person's overall level of core activity limitation is determined by their highest level of limitation in these activities.  Further consideration is needed as to whether all levels of core activity limitation should be included in ‘with a disability’ reporting</w:t>
      </w:r>
      <w:r w:rsidR="009E7033">
        <w:rPr>
          <w:rFonts w:cs="Helv"/>
          <w:color w:val="000000"/>
        </w:rPr>
        <w:t xml:space="preserve"> in the gender indicators</w:t>
      </w:r>
      <w:r w:rsidRPr="00FB2701">
        <w:rPr>
          <w:rFonts w:cs="Helv"/>
          <w:color w:val="000000"/>
        </w:rPr>
        <w:t>.</w:t>
      </w:r>
    </w:p>
    <w:p w:rsidR="00FB2701" w:rsidRPr="00FB2701" w:rsidRDefault="00FB2701" w:rsidP="00FB2701">
      <w:pPr>
        <w:autoSpaceDE w:val="0"/>
        <w:autoSpaceDN w:val="0"/>
        <w:adjustRightInd w:val="0"/>
        <w:spacing w:after="0" w:line="240" w:lineRule="auto"/>
        <w:rPr>
          <w:rFonts w:cs="Helv"/>
          <w:color w:val="000000"/>
        </w:rPr>
      </w:pPr>
    </w:p>
    <w:p w:rsidR="00FB2701" w:rsidRPr="00FB2701" w:rsidRDefault="0089153B" w:rsidP="0089153B">
      <w:pPr>
        <w:autoSpaceDE w:val="0"/>
        <w:autoSpaceDN w:val="0"/>
        <w:adjustRightInd w:val="0"/>
        <w:spacing w:after="0" w:line="240" w:lineRule="auto"/>
        <w:rPr>
          <w:rFonts w:cs="Arial"/>
          <w:color w:val="000000"/>
        </w:rPr>
      </w:pPr>
      <w:r>
        <w:rPr>
          <w:rFonts w:cs="Arial"/>
          <w:color w:val="000000"/>
        </w:rPr>
        <w:t>Expan</w:t>
      </w:r>
      <w:r w:rsidRPr="00FB2701">
        <w:rPr>
          <w:rFonts w:cs="Arial"/>
          <w:color w:val="000000"/>
        </w:rPr>
        <w:t>ding the Gender Indicators to report on people with a disability is expected to be the most challenging in terms of data availability and heavily reliant on the Survey o</w:t>
      </w:r>
      <w:r>
        <w:rPr>
          <w:rFonts w:cs="Arial"/>
          <w:color w:val="000000"/>
        </w:rPr>
        <w:t xml:space="preserve">f Disability, Ageing and Carers </w:t>
      </w:r>
      <w:r w:rsidRPr="00FB2701">
        <w:rPr>
          <w:rFonts w:cs="Arial"/>
          <w:color w:val="000000"/>
        </w:rPr>
        <w:lastRenderedPageBreak/>
        <w:t xml:space="preserve">supported by other household surveys which collect disability information. </w:t>
      </w:r>
      <w:r>
        <w:rPr>
          <w:rFonts w:cs="Arial"/>
          <w:color w:val="000000"/>
        </w:rPr>
        <w:t xml:space="preserve">  </w:t>
      </w:r>
      <w:r w:rsidR="00FB2701" w:rsidRPr="00FB2701">
        <w:rPr>
          <w:rFonts w:cs="Arial"/>
          <w:color w:val="000000"/>
        </w:rPr>
        <w:t>The 2012 Survey of Disability Ageing and Carers estimated that 18.5% of the Australian population had a disability.</w:t>
      </w:r>
    </w:p>
    <w:p w:rsidR="00034344" w:rsidRPr="00041236" w:rsidRDefault="002D4BBB" w:rsidP="00034344">
      <w:pPr>
        <w:numPr>
          <w:ilvl w:val="0"/>
          <w:numId w:val="9"/>
        </w:numPr>
        <w:spacing w:before="240" w:after="240" w:line="240" w:lineRule="auto"/>
        <w:ind w:left="0" w:firstLine="0"/>
        <w:rPr>
          <w:b/>
        </w:rPr>
      </w:pPr>
      <w:r>
        <w:rPr>
          <w:b/>
        </w:rPr>
        <w:t>F</w:t>
      </w:r>
      <w:r w:rsidR="00034344">
        <w:rPr>
          <w:b/>
        </w:rPr>
        <w:t>indings</w:t>
      </w:r>
    </w:p>
    <w:p w:rsidR="006F769B" w:rsidRPr="00350863" w:rsidRDefault="00EB35D7" w:rsidP="00FB2701">
      <w:pPr>
        <w:autoSpaceDE w:val="0"/>
        <w:autoSpaceDN w:val="0"/>
        <w:adjustRightInd w:val="0"/>
        <w:spacing w:after="0" w:line="240" w:lineRule="auto"/>
        <w:rPr>
          <w:rFonts w:cs="Helv"/>
          <w:bCs/>
          <w:color w:val="000000"/>
        </w:rPr>
      </w:pPr>
      <w:r>
        <w:rPr>
          <w:rFonts w:cs="Helv"/>
          <w:bCs/>
          <w:color w:val="000000"/>
        </w:rPr>
        <w:t xml:space="preserve">The phase one work completed so far </w:t>
      </w:r>
      <w:r w:rsidR="006F769B" w:rsidRPr="00350863">
        <w:rPr>
          <w:rFonts w:cs="Helv"/>
          <w:bCs/>
          <w:color w:val="000000"/>
        </w:rPr>
        <w:t xml:space="preserve">has identified possible </w:t>
      </w:r>
      <w:r>
        <w:rPr>
          <w:rFonts w:cs="Helv"/>
          <w:bCs/>
          <w:color w:val="000000"/>
        </w:rPr>
        <w:t>ABS and non-</w:t>
      </w:r>
      <w:r w:rsidR="00F72559">
        <w:rPr>
          <w:rFonts w:cs="Helv"/>
          <w:bCs/>
          <w:color w:val="000000"/>
        </w:rPr>
        <w:t xml:space="preserve">ABS </w:t>
      </w:r>
      <w:r w:rsidR="006F769B" w:rsidRPr="00350863">
        <w:rPr>
          <w:rFonts w:cs="Helv"/>
          <w:bCs/>
          <w:color w:val="000000"/>
        </w:rPr>
        <w:t xml:space="preserve">data sources </w:t>
      </w:r>
      <w:r w:rsidR="00281D2C" w:rsidRPr="00350863">
        <w:rPr>
          <w:rFonts w:cs="Helv"/>
          <w:bCs/>
          <w:color w:val="000000"/>
        </w:rPr>
        <w:t>for</w:t>
      </w:r>
      <w:r w:rsidR="006F769B" w:rsidRPr="00350863">
        <w:rPr>
          <w:rFonts w:cs="Helv"/>
          <w:bCs/>
          <w:color w:val="000000"/>
        </w:rPr>
        <w:t xml:space="preserve"> further disaggregation of the Gender </w:t>
      </w:r>
      <w:proofErr w:type="gramStart"/>
      <w:r w:rsidR="006F769B" w:rsidRPr="00350863">
        <w:rPr>
          <w:rFonts w:cs="Helv"/>
          <w:bCs/>
          <w:color w:val="000000"/>
        </w:rPr>
        <w:t>Indicators</w:t>
      </w:r>
      <w:r w:rsidR="005449E2">
        <w:rPr>
          <w:rFonts w:cs="Helv"/>
          <w:bCs/>
          <w:color w:val="000000"/>
        </w:rPr>
        <w:t xml:space="preserve">  -</w:t>
      </w:r>
      <w:proofErr w:type="gramEnd"/>
      <w:r w:rsidR="005449E2">
        <w:rPr>
          <w:rFonts w:cs="Helv"/>
          <w:bCs/>
          <w:color w:val="000000"/>
        </w:rPr>
        <w:t xml:space="preserve"> 46 key series</w:t>
      </w:r>
      <w:r>
        <w:rPr>
          <w:rFonts w:cs="Helv"/>
          <w:bCs/>
          <w:color w:val="000000"/>
        </w:rPr>
        <w:t xml:space="preserve">. Findings are </w:t>
      </w:r>
      <w:r w:rsidR="00F72559">
        <w:rPr>
          <w:rFonts w:cs="Helv"/>
          <w:bCs/>
          <w:color w:val="000000"/>
        </w:rPr>
        <w:t xml:space="preserve">summarised in </w:t>
      </w:r>
      <w:r w:rsidR="00281D2C" w:rsidRPr="00350863">
        <w:rPr>
          <w:rFonts w:cs="Helv"/>
          <w:bCs/>
          <w:color w:val="000000"/>
        </w:rPr>
        <w:t>Attachment A</w:t>
      </w:r>
      <w:r w:rsidR="0089153B">
        <w:rPr>
          <w:rFonts w:cs="Helv"/>
          <w:bCs/>
          <w:color w:val="000000"/>
        </w:rPr>
        <w:t xml:space="preserve"> and outlined below.</w:t>
      </w:r>
    </w:p>
    <w:p w:rsidR="00BA2957" w:rsidRPr="009D4CBA" w:rsidRDefault="00BA2957" w:rsidP="009D4CBA">
      <w:pPr>
        <w:autoSpaceDE w:val="0"/>
        <w:autoSpaceDN w:val="0"/>
        <w:adjustRightInd w:val="0"/>
        <w:spacing w:after="0" w:line="240" w:lineRule="auto"/>
        <w:rPr>
          <w:rFonts w:cs="Helv"/>
          <w:color w:val="000000"/>
        </w:rPr>
      </w:pPr>
    </w:p>
    <w:p w:rsidR="002D4BBB" w:rsidRPr="00401949" w:rsidRDefault="002D4BBB" w:rsidP="002D4BBB">
      <w:pPr>
        <w:autoSpaceDE w:val="0"/>
        <w:autoSpaceDN w:val="0"/>
        <w:adjustRightInd w:val="0"/>
        <w:spacing w:after="240" w:line="240" w:lineRule="auto"/>
        <w:rPr>
          <w:rFonts w:cs="Helv"/>
          <w:bCs/>
          <w:color w:val="000000"/>
        </w:rPr>
      </w:pPr>
      <w:r w:rsidRPr="00401949">
        <w:rPr>
          <w:rFonts w:cs="Helv"/>
          <w:bCs/>
          <w:color w:val="000000"/>
        </w:rPr>
        <w:t>Sub-population: Aboriginal and Torre</w:t>
      </w:r>
      <w:r w:rsidR="002C60D9">
        <w:rPr>
          <w:rFonts w:cs="Helv"/>
          <w:bCs/>
          <w:color w:val="000000"/>
        </w:rPr>
        <w:t>s Strait Islander</w:t>
      </w:r>
      <w:r w:rsidRPr="00401949">
        <w:rPr>
          <w:rFonts w:cs="Helv"/>
          <w:bCs/>
          <w:color w:val="000000"/>
        </w:rPr>
        <w:t xml:space="preserve"> peoples</w:t>
      </w:r>
    </w:p>
    <w:p w:rsidR="002D4BBB" w:rsidRPr="000D2ABC" w:rsidRDefault="00545D5A" w:rsidP="002D4BBB">
      <w:pPr>
        <w:pStyle w:val="ListParagraph"/>
        <w:numPr>
          <w:ilvl w:val="0"/>
          <w:numId w:val="15"/>
        </w:numPr>
        <w:autoSpaceDE w:val="0"/>
        <w:autoSpaceDN w:val="0"/>
        <w:adjustRightInd w:val="0"/>
        <w:spacing w:after="240" w:line="240" w:lineRule="auto"/>
        <w:rPr>
          <w:rFonts w:cs="Helv"/>
          <w:bCs/>
          <w:color w:val="000000"/>
        </w:rPr>
      </w:pPr>
      <w:r w:rsidRPr="00401949">
        <w:rPr>
          <w:rFonts w:cs="Helv"/>
          <w:bCs/>
          <w:color w:val="000000"/>
        </w:rPr>
        <w:t>Aboriginal and Torre</w:t>
      </w:r>
      <w:r>
        <w:rPr>
          <w:rFonts w:cs="Helv"/>
          <w:bCs/>
          <w:color w:val="000000"/>
        </w:rPr>
        <w:t>s Strait Islander</w:t>
      </w:r>
      <w:r w:rsidR="002D4BBB" w:rsidRPr="000D2ABC">
        <w:rPr>
          <w:rFonts w:cs="Helv"/>
          <w:bCs/>
          <w:color w:val="000000"/>
        </w:rPr>
        <w:t xml:space="preserve"> data collected in the same source as Gender for </w:t>
      </w:r>
      <w:r w:rsidR="00DE7B49">
        <w:rPr>
          <w:rFonts w:cs="Helv"/>
          <w:bCs/>
          <w:color w:val="000000"/>
        </w:rPr>
        <w:t>8</w:t>
      </w:r>
      <w:r w:rsidR="002D4BBB" w:rsidRPr="000D2ABC">
        <w:rPr>
          <w:rFonts w:cs="Helv"/>
          <w:bCs/>
          <w:color w:val="000000"/>
        </w:rPr>
        <w:t xml:space="preserve"> key series</w:t>
      </w:r>
    </w:p>
    <w:p w:rsidR="002D4BBB" w:rsidRDefault="00545D5A" w:rsidP="002D4BBB">
      <w:pPr>
        <w:pStyle w:val="ListParagraph"/>
        <w:numPr>
          <w:ilvl w:val="0"/>
          <w:numId w:val="15"/>
        </w:numPr>
        <w:autoSpaceDE w:val="0"/>
        <w:autoSpaceDN w:val="0"/>
        <w:adjustRightInd w:val="0"/>
        <w:spacing w:after="240" w:line="240" w:lineRule="auto"/>
        <w:rPr>
          <w:rFonts w:cs="Helv"/>
          <w:bCs/>
          <w:color w:val="000000"/>
        </w:rPr>
      </w:pPr>
      <w:r w:rsidRPr="00401949">
        <w:rPr>
          <w:rFonts w:cs="Helv"/>
          <w:bCs/>
          <w:color w:val="000000"/>
        </w:rPr>
        <w:t>Aboriginal and Torre</w:t>
      </w:r>
      <w:r>
        <w:rPr>
          <w:rFonts w:cs="Helv"/>
          <w:bCs/>
          <w:color w:val="000000"/>
        </w:rPr>
        <w:t>s Strait Islander</w:t>
      </w:r>
      <w:r w:rsidR="002D4BBB" w:rsidRPr="000D2ABC">
        <w:rPr>
          <w:rFonts w:cs="Helv"/>
          <w:bCs/>
          <w:color w:val="000000"/>
        </w:rPr>
        <w:t xml:space="preserve"> data collected </w:t>
      </w:r>
      <w:r w:rsidR="00DE7B49">
        <w:rPr>
          <w:rFonts w:cs="Helv"/>
          <w:bCs/>
          <w:color w:val="000000"/>
        </w:rPr>
        <w:t>in a related Gender source</w:t>
      </w:r>
      <w:r w:rsidR="00B82FB7">
        <w:rPr>
          <w:rFonts w:cs="Helv"/>
          <w:bCs/>
          <w:color w:val="000000"/>
        </w:rPr>
        <w:t xml:space="preserve"> for </w:t>
      </w:r>
      <w:r w:rsidR="00DE7B49">
        <w:rPr>
          <w:rFonts w:cs="Helv"/>
          <w:bCs/>
          <w:color w:val="000000"/>
        </w:rPr>
        <w:t xml:space="preserve">22 </w:t>
      </w:r>
      <w:r w:rsidR="002D4BBB" w:rsidRPr="000D2ABC">
        <w:rPr>
          <w:rFonts w:cs="Helv"/>
          <w:bCs/>
          <w:color w:val="000000"/>
        </w:rPr>
        <w:t>key series</w:t>
      </w:r>
    </w:p>
    <w:p w:rsidR="00683275" w:rsidRPr="000D2ABC" w:rsidRDefault="00545D5A" w:rsidP="002D4BBB">
      <w:pPr>
        <w:pStyle w:val="ListParagraph"/>
        <w:numPr>
          <w:ilvl w:val="0"/>
          <w:numId w:val="15"/>
        </w:numPr>
        <w:autoSpaceDE w:val="0"/>
        <w:autoSpaceDN w:val="0"/>
        <w:adjustRightInd w:val="0"/>
        <w:spacing w:after="240" w:line="240" w:lineRule="auto"/>
        <w:rPr>
          <w:rFonts w:cs="Helv"/>
          <w:bCs/>
          <w:color w:val="000000"/>
        </w:rPr>
      </w:pPr>
      <w:r w:rsidRPr="00401949">
        <w:rPr>
          <w:rFonts w:cs="Helv"/>
          <w:bCs/>
          <w:color w:val="000000"/>
        </w:rPr>
        <w:t>Aboriginal and Torre</w:t>
      </w:r>
      <w:r>
        <w:rPr>
          <w:rFonts w:cs="Helv"/>
          <w:bCs/>
          <w:color w:val="000000"/>
        </w:rPr>
        <w:t>s Strait Islander</w:t>
      </w:r>
      <w:r w:rsidR="00683275">
        <w:rPr>
          <w:rFonts w:cs="Helv"/>
          <w:bCs/>
          <w:color w:val="000000"/>
        </w:rPr>
        <w:t xml:space="preserve"> data </w:t>
      </w:r>
      <w:r w:rsidR="00DE7B49">
        <w:rPr>
          <w:rFonts w:cs="Helv"/>
          <w:bCs/>
          <w:color w:val="000000"/>
        </w:rPr>
        <w:t xml:space="preserve">sources are not yet known </w:t>
      </w:r>
      <w:r w:rsidR="00CA23C2">
        <w:rPr>
          <w:rFonts w:cs="Helv"/>
          <w:bCs/>
          <w:color w:val="000000"/>
        </w:rPr>
        <w:t>for 1</w:t>
      </w:r>
      <w:r w:rsidR="00DE7B49">
        <w:rPr>
          <w:rFonts w:cs="Helv"/>
          <w:bCs/>
          <w:color w:val="000000"/>
        </w:rPr>
        <w:t>6</w:t>
      </w:r>
      <w:r w:rsidR="00683275">
        <w:rPr>
          <w:rFonts w:cs="Helv"/>
          <w:bCs/>
          <w:color w:val="000000"/>
        </w:rPr>
        <w:t xml:space="preserve"> key series</w:t>
      </w:r>
    </w:p>
    <w:p w:rsidR="009D4CBA" w:rsidRPr="00401949" w:rsidRDefault="009D4CBA" w:rsidP="009D4CBA">
      <w:pPr>
        <w:autoSpaceDE w:val="0"/>
        <w:autoSpaceDN w:val="0"/>
        <w:adjustRightInd w:val="0"/>
        <w:spacing w:after="240" w:line="240" w:lineRule="auto"/>
        <w:rPr>
          <w:rFonts w:cs="Helv"/>
          <w:bCs/>
          <w:color w:val="000000"/>
        </w:rPr>
      </w:pPr>
      <w:r w:rsidRPr="00401949">
        <w:rPr>
          <w:rFonts w:cs="Helv"/>
          <w:bCs/>
          <w:color w:val="000000"/>
        </w:rPr>
        <w:t xml:space="preserve">Sub-population: </w:t>
      </w:r>
      <w:r>
        <w:rPr>
          <w:rFonts w:cs="Helv"/>
          <w:bCs/>
          <w:color w:val="000000"/>
        </w:rPr>
        <w:t xml:space="preserve"> Culturally and </w:t>
      </w:r>
      <w:proofErr w:type="gramStart"/>
      <w:r>
        <w:rPr>
          <w:rFonts w:cs="Helv"/>
          <w:bCs/>
          <w:color w:val="000000"/>
        </w:rPr>
        <w:t>Linguistically(</w:t>
      </w:r>
      <w:proofErr w:type="gramEnd"/>
      <w:r>
        <w:rPr>
          <w:rFonts w:cs="Helv"/>
          <w:bCs/>
          <w:color w:val="000000"/>
        </w:rPr>
        <w:t>CALD) population</w:t>
      </w:r>
    </w:p>
    <w:p w:rsidR="009D4CBA" w:rsidRPr="000D2ABC" w:rsidRDefault="009D4CBA" w:rsidP="009D4CBA">
      <w:pPr>
        <w:pStyle w:val="ListParagraph"/>
        <w:numPr>
          <w:ilvl w:val="0"/>
          <w:numId w:val="16"/>
        </w:numPr>
        <w:autoSpaceDE w:val="0"/>
        <w:autoSpaceDN w:val="0"/>
        <w:adjustRightInd w:val="0"/>
        <w:spacing w:after="240" w:line="240" w:lineRule="auto"/>
        <w:rPr>
          <w:rFonts w:cs="Helv"/>
          <w:bCs/>
          <w:color w:val="000000"/>
        </w:rPr>
      </w:pPr>
      <w:r>
        <w:rPr>
          <w:rFonts w:cs="Helv"/>
          <w:bCs/>
          <w:color w:val="000000"/>
        </w:rPr>
        <w:t>CALD</w:t>
      </w:r>
      <w:r w:rsidRPr="000D2ABC">
        <w:rPr>
          <w:rFonts w:cs="Helv"/>
          <w:bCs/>
          <w:color w:val="000000"/>
        </w:rPr>
        <w:t xml:space="preserve"> data collected in</w:t>
      </w:r>
      <w:r>
        <w:rPr>
          <w:rFonts w:cs="Helv"/>
          <w:bCs/>
          <w:color w:val="000000"/>
        </w:rPr>
        <w:t xml:space="preserve"> </w:t>
      </w:r>
      <w:r w:rsidR="00CA23C2">
        <w:rPr>
          <w:rFonts w:cs="Helv"/>
          <w:bCs/>
          <w:color w:val="000000"/>
        </w:rPr>
        <w:t>the same source as Gender for 4</w:t>
      </w:r>
      <w:r w:rsidR="007A4B78">
        <w:rPr>
          <w:rFonts w:cs="Helv"/>
          <w:bCs/>
          <w:color w:val="000000"/>
        </w:rPr>
        <w:t>2</w:t>
      </w:r>
      <w:r>
        <w:rPr>
          <w:rFonts w:cs="Helv"/>
          <w:bCs/>
          <w:color w:val="000000"/>
        </w:rPr>
        <w:t xml:space="preserve"> </w:t>
      </w:r>
      <w:r w:rsidRPr="000D2ABC">
        <w:rPr>
          <w:rFonts w:cs="Helv"/>
          <w:bCs/>
          <w:color w:val="000000"/>
        </w:rPr>
        <w:t>key series</w:t>
      </w:r>
    </w:p>
    <w:p w:rsidR="009D4CBA" w:rsidRPr="000D2ABC" w:rsidRDefault="009D4CBA" w:rsidP="009D4CBA">
      <w:pPr>
        <w:pStyle w:val="ListParagraph"/>
        <w:numPr>
          <w:ilvl w:val="0"/>
          <w:numId w:val="16"/>
        </w:numPr>
        <w:autoSpaceDE w:val="0"/>
        <w:autoSpaceDN w:val="0"/>
        <w:adjustRightInd w:val="0"/>
        <w:spacing w:after="240" w:line="240" w:lineRule="auto"/>
        <w:rPr>
          <w:rFonts w:cs="Helv"/>
          <w:bCs/>
          <w:color w:val="000000"/>
        </w:rPr>
      </w:pPr>
      <w:r>
        <w:rPr>
          <w:rFonts w:cs="Helv"/>
          <w:bCs/>
          <w:color w:val="000000"/>
        </w:rPr>
        <w:t xml:space="preserve">CALD </w:t>
      </w:r>
      <w:r w:rsidRPr="000D2ABC">
        <w:rPr>
          <w:rFonts w:cs="Helv"/>
          <w:bCs/>
          <w:color w:val="000000"/>
        </w:rPr>
        <w:t>data collected</w:t>
      </w:r>
      <w:r w:rsidR="008D18A8">
        <w:rPr>
          <w:rFonts w:cs="Helv"/>
          <w:bCs/>
          <w:color w:val="000000"/>
        </w:rPr>
        <w:t xml:space="preserve"> </w:t>
      </w:r>
      <w:r w:rsidR="00334956">
        <w:rPr>
          <w:rFonts w:cs="Helv"/>
          <w:bCs/>
          <w:color w:val="000000"/>
        </w:rPr>
        <w:t xml:space="preserve">in a related Gender source </w:t>
      </w:r>
      <w:r w:rsidR="008D18A8">
        <w:rPr>
          <w:rFonts w:cs="Helv"/>
          <w:bCs/>
          <w:color w:val="000000"/>
        </w:rPr>
        <w:t xml:space="preserve">for </w:t>
      </w:r>
      <w:r w:rsidR="00940462">
        <w:rPr>
          <w:rFonts w:cs="Helv"/>
          <w:bCs/>
          <w:color w:val="000000"/>
        </w:rPr>
        <w:t>2</w:t>
      </w:r>
      <w:r w:rsidRPr="000D2ABC">
        <w:rPr>
          <w:rFonts w:cs="Helv"/>
          <w:bCs/>
          <w:color w:val="000000"/>
        </w:rPr>
        <w:t xml:space="preserve"> key series</w:t>
      </w:r>
    </w:p>
    <w:p w:rsidR="009D4CBA" w:rsidRPr="009D4CBA" w:rsidRDefault="009D4CBA" w:rsidP="002D4BBB">
      <w:pPr>
        <w:pStyle w:val="ListParagraph"/>
        <w:numPr>
          <w:ilvl w:val="0"/>
          <w:numId w:val="16"/>
        </w:numPr>
        <w:autoSpaceDE w:val="0"/>
        <w:autoSpaceDN w:val="0"/>
        <w:adjustRightInd w:val="0"/>
        <w:spacing w:after="240" w:line="240" w:lineRule="auto"/>
        <w:rPr>
          <w:rFonts w:cs="Helv"/>
          <w:bCs/>
          <w:color w:val="000000"/>
        </w:rPr>
      </w:pPr>
      <w:r>
        <w:rPr>
          <w:rFonts w:cs="Helv"/>
          <w:bCs/>
          <w:color w:val="000000"/>
        </w:rPr>
        <w:t xml:space="preserve">CALD </w:t>
      </w:r>
      <w:r w:rsidRPr="000D2ABC">
        <w:rPr>
          <w:rFonts w:cs="Helv"/>
          <w:bCs/>
          <w:color w:val="000000"/>
        </w:rPr>
        <w:t xml:space="preserve">data </w:t>
      </w:r>
      <w:r w:rsidR="00320FB7">
        <w:rPr>
          <w:rFonts w:cs="Helv"/>
          <w:bCs/>
          <w:color w:val="000000"/>
        </w:rPr>
        <w:t xml:space="preserve">sources are not yet known </w:t>
      </w:r>
      <w:r>
        <w:rPr>
          <w:rFonts w:cs="Helv"/>
          <w:bCs/>
          <w:color w:val="000000"/>
        </w:rPr>
        <w:t xml:space="preserve">for </w:t>
      </w:r>
      <w:r w:rsidR="007A4B78">
        <w:rPr>
          <w:rFonts w:cs="Helv"/>
          <w:bCs/>
          <w:color w:val="000000"/>
        </w:rPr>
        <w:t>2</w:t>
      </w:r>
      <w:r>
        <w:rPr>
          <w:rFonts w:cs="Helv"/>
          <w:bCs/>
          <w:color w:val="000000"/>
        </w:rPr>
        <w:t xml:space="preserve"> key series</w:t>
      </w:r>
    </w:p>
    <w:p w:rsidR="002D4BBB" w:rsidRPr="00401949" w:rsidRDefault="002D4BBB" w:rsidP="002D4BBB">
      <w:pPr>
        <w:autoSpaceDE w:val="0"/>
        <w:autoSpaceDN w:val="0"/>
        <w:adjustRightInd w:val="0"/>
        <w:spacing w:after="240" w:line="240" w:lineRule="auto"/>
        <w:rPr>
          <w:rFonts w:cs="Helv"/>
          <w:bCs/>
          <w:color w:val="000000"/>
        </w:rPr>
      </w:pPr>
      <w:r w:rsidRPr="00401949">
        <w:rPr>
          <w:rFonts w:cs="Helv"/>
          <w:bCs/>
          <w:color w:val="000000"/>
        </w:rPr>
        <w:t xml:space="preserve">Sub-population: </w:t>
      </w:r>
      <w:r>
        <w:rPr>
          <w:rFonts w:cs="Helv"/>
          <w:bCs/>
          <w:color w:val="000000"/>
        </w:rPr>
        <w:t xml:space="preserve"> People with a Disability</w:t>
      </w:r>
    </w:p>
    <w:p w:rsidR="002D4BBB" w:rsidRPr="000D2ABC" w:rsidRDefault="002D4BBB" w:rsidP="002D4BBB">
      <w:pPr>
        <w:pStyle w:val="ListParagraph"/>
        <w:numPr>
          <w:ilvl w:val="0"/>
          <w:numId w:val="16"/>
        </w:numPr>
        <w:autoSpaceDE w:val="0"/>
        <w:autoSpaceDN w:val="0"/>
        <w:adjustRightInd w:val="0"/>
        <w:spacing w:after="240" w:line="240" w:lineRule="auto"/>
        <w:rPr>
          <w:rFonts w:cs="Helv"/>
          <w:bCs/>
          <w:color w:val="000000"/>
        </w:rPr>
      </w:pPr>
      <w:r w:rsidRPr="000D2ABC">
        <w:rPr>
          <w:rFonts w:cs="Helv"/>
          <w:bCs/>
          <w:color w:val="000000"/>
        </w:rPr>
        <w:t>Disability data collected in</w:t>
      </w:r>
      <w:r w:rsidR="00CA23C2">
        <w:rPr>
          <w:rFonts w:cs="Helv"/>
          <w:bCs/>
          <w:color w:val="000000"/>
        </w:rPr>
        <w:t xml:space="preserve"> </w:t>
      </w:r>
      <w:r w:rsidR="00334956">
        <w:rPr>
          <w:rFonts w:cs="Helv"/>
          <w:bCs/>
          <w:color w:val="000000"/>
        </w:rPr>
        <w:t>the same source as Gender for 9</w:t>
      </w:r>
      <w:r w:rsidRPr="000D2ABC">
        <w:rPr>
          <w:rFonts w:cs="Helv"/>
          <w:bCs/>
          <w:color w:val="000000"/>
        </w:rPr>
        <w:t xml:space="preserve"> key series</w:t>
      </w:r>
    </w:p>
    <w:p w:rsidR="002D4BBB" w:rsidRPr="000D2ABC" w:rsidRDefault="002D4BBB" w:rsidP="002D4BBB">
      <w:pPr>
        <w:pStyle w:val="ListParagraph"/>
        <w:numPr>
          <w:ilvl w:val="0"/>
          <w:numId w:val="16"/>
        </w:numPr>
        <w:autoSpaceDE w:val="0"/>
        <w:autoSpaceDN w:val="0"/>
        <w:adjustRightInd w:val="0"/>
        <w:spacing w:after="240" w:line="240" w:lineRule="auto"/>
        <w:rPr>
          <w:rFonts w:cs="Helv"/>
          <w:bCs/>
          <w:color w:val="000000"/>
        </w:rPr>
      </w:pPr>
      <w:r w:rsidRPr="000D2ABC">
        <w:rPr>
          <w:rFonts w:cs="Helv"/>
          <w:bCs/>
          <w:color w:val="000000"/>
        </w:rPr>
        <w:t xml:space="preserve">Disability data </w:t>
      </w:r>
      <w:r w:rsidR="00334956">
        <w:rPr>
          <w:rFonts w:cs="Helv"/>
          <w:bCs/>
          <w:color w:val="000000"/>
        </w:rPr>
        <w:t xml:space="preserve">in a related Gender source </w:t>
      </w:r>
      <w:r w:rsidR="007A3F58">
        <w:rPr>
          <w:rFonts w:cs="Helv"/>
          <w:bCs/>
          <w:color w:val="000000"/>
        </w:rPr>
        <w:t xml:space="preserve">for </w:t>
      </w:r>
      <w:r w:rsidR="00334956">
        <w:rPr>
          <w:rFonts w:cs="Helv"/>
          <w:bCs/>
          <w:color w:val="000000"/>
        </w:rPr>
        <w:t>19</w:t>
      </w:r>
      <w:r w:rsidRPr="000D2ABC">
        <w:rPr>
          <w:rFonts w:cs="Helv"/>
          <w:bCs/>
          <w:color w:val="000000"/>
        </w:rPr>
        <w:t xml:space="preserve"> key series</w:t>
      </w:r>
    </w:p>
    <w:p w:rsidR="002D4BBB" w:rsidRDefault="002D4BBB" w:rsidP="002D4BBB">
      <w:pPr>
        <w:pStyle w:val="ListParagraph"/>
        <w:numPr>
          <w:ilvl w:val="0"/>
          <w:numId w:val="16"/>
        </w:numPr>
        <w:autoSpaceDE w:val="0"/>
        <w:autoSpaceDN w:val="0"/>
        <w:adjustRightInd w:val="0"/>
        <w:spacing w:after="240" w:line="240" w:lineRule="auto"/>
        <w:rPr>
          <w:rFonts w:cs="Helv"/>
          <w:bCs/>
          <w:color w:val="000000"/>
        </w:rPr>
      </w:pPr>
      <w:r w:rsidRPr="000D2ABC">
        <w:rPr>
          <w:rFonts w:cs="Helv"/>
          <w:bCs/>
          <w:color w:val="000000"/>
        </w:rPr>
        <w:t xml:space="preserve">Disability </w:t>
      </w:r>
      <w:r w:rsidR="00334956">
        <w:rPr>
          <w:rFonts w:cs="Helv"/>
          <w:bCs/>
          <w:color w:val="000000"/>
        </w:rPr>
        <w:t xml:space="preserve">data sources are not yet known </w:t>
      </w:r>
      <w:r w:rsidR="00BB089E">
        <w:rPr>
          <w:rFonts w:cs="Helv"/>
          <w:bCs/>
          <w:color w:val="000000"/>
        </w:rPr>
        <w:t>for 1</w:t>
      </w:r>
      <w:r w:rsidR="00334956">
        <w:rPr>
          <w:rFonts w:cs="Helv"/>
          <w:bCs/>
          <w:color w:val="000000"/>
        </w:rPr>
        <w:t>7</w:t>
      </w:r>
      <w:r w:rsidRPr="000D2ABC">
        <w:rPr>
          <w:rFonts w:cs="Helv"/>
          <w:bCs/>
          <w:color w:val="000000"/>
        </w:rPr>
        <w:t xml:space="preserve"> key series</w:t>
      </w:r>
    </w:p>
    <w:p w:rsidR="002D4BBB" w:rsidRDefault="002D4BBB" w:rsidP="002D4BBB">
      <w:pPr>
        <w:pStyle w:val="ListParagraph"/>
        <w:numPr>
          <w:ilvl w:val="0"/>
          <w:numId w:val="16"/>
        </w:numPr>
        <w:autoSpaceDE w:val="0"/>
        <w:autoSpaceDN w:val="0"/>
        <w:adjustRightInd w:val="0"/>
        <w:spacing w:after="0" w:line="240" w:lineRule="auto"/>
        <w:rPr>
          <w:rFonts w:cs="Helv"/>
          <w:color w:val="000000"/>
        </w:rPr>
      </w:pPr>
      <w:r w:rsidRPr="002D4BBB">
        <w:rPr>
          <w:rFonts w:cs="Helv"/>
          <w:color w:val="000000"/>
        </w:rPr>
        <w:t xml:space="preserve">It was noted that the incidence of disability </w:t>
      </w:r>
      <w:r w:rsidR="000632F8">
        <w:rPr>
          <w:rFonts w:cs="Helv"/>
          <w:color w:val="000000"/>
        </w:rPr>
        <w:t xml:space="preserve">collected in household surveys using the short </w:t>
      </w:r>
      <w:proofErr w:type="spellStart"/>
      <w:r w:rsidR="000632F8">
        <w:rPr>
          <w:rFonts w:cs="Helv"/>
          <w:color w:val="000000"/>
        </w:rPr>
        <w:t>diability</w:t>
      </w:r>
      <w:proofErr w:type="spellEnd"/>
      <w:r w:rsidRPr="002D4BBB">
        <w:rPr>
          <w:rFonts w:cs="Helv"/>
          <w:color w:val="000000"/>
        </w:rPr>
        <w:t xml:space="preserve"> module</w:t>
      </w:r>
      <w:r w:rsidR="000632F8">
        <w:rPr>
          <w:rFonts w:cs="Helv"/>
          <w:color w:val="000000"/>
        </w:rPr>
        <w:t>,</w:t>
      </w:r>
      <w:r w:rsidRPr="002D4BBB">
        <w:rPr>
          <w:rFonts w:cs="Helv"/>
          <w:color w:val="000000"/>
        </w:rPr>
        <w:t xml:space="preserve"> is much higher than shown in the Survey of Disability, Ageing and Carers (SDAC) due to the higher number of screening questions asked in SDAC. Therefore we would need to proceed with caution if </w:t>
      </w:r>
      <w:r w:rsidR="000632F8">
        <w:rPr>
          <w:rFonts w:cs="Helv"/>
          <w:color w:val="000000"/>
        </w:rPr>
        <w:t>multiple</w:t>
      </w:r>
      <w:r w:rsidRPr="002D4BBB">
        <w:rPr>
          <w:rFonts w:cs="Helv"/>
          <w:color w:val="000000"/>
        </w:rPr>
        <w:t xml:space="preserve"> data sources were included in the expanded product.</w:t>
      </w:r>
    </w:p>
    <w:p w:rsidR="002D4BBB" w:rsidRPr="00041236" w:rsidRDefault="002D4BBB" w:rsidP="002D4BBB">
      <w:pPr>
        <w:numPr>
          <w:ilvl w:val="0"/>
          <w:numId w:val="9"/>
        </w:numPr>
        <w:spacing w:before="240" w:after="240" w:line="240" w:lineRule="auto"/>
        <w:ind w:left="0" w:firstLine="0"/>
        <w:rPr>
          <w:b/>
        </w:rPr>
      </w:pPr>
      <w:r>
        <w:rPr>
          <w:b/>
        </w:rPr>
        <w:t>Output Options</w:t>
      </w:r>
    </w:p>
    <w:p w:rsidR="00C4350B" w:rsidRDefault="00C4350B" w:rsidP="002D4BBB">
      <w:pPr>
        <w:autoSpaceDE w:val="0"/>
        <w:autoSpaceDN w:val="0"/>
        <w:adjustRightInd w:val="0"/>
        <w:spacing w:after="0" w:line="240" w:lineRule="auto"/>
        <w:rPr>
          <w:rFonts w:cs="Helv"/>
          <w:color w:val="000000"/>
        </w:rPr>
      </w:pPr>
      <w:r>
        <w:rPr>
          <w:rFonts w:cs="Helv"/>
          <w:color w:val="000000"/>
        </w:rPr>
        <w:t>Phase one of this project has identified possible data sources for expanding Gender Indicators. However any output will be dependent on available funding. While the Office for Women has provide</w:t>
      </w:r>
      <w:r w:rsidR="00D53D69">
        <w:rPr>
          <w:rFonts w:cs="Helv"/>
          <w:color w:val="000000"/>
        </w:rPr>
        <w:t>d</w:t>
      </w:r>
      <w:r>
        <w:rPr>
          <w:rFonts w:cs="Helv"/>
          <w:color w:val="000000"/>
        </w:rPr>
        <w:t xml:space="preserve"> some funding, the ABS will need to consider its overall budget position before deciding on what outputs can be released.</w:t>
      </w:r>
    </w:p>
    <w:p w:rsidR="00C4350B" w:rsidRDefault="00C4350B" w:rsidP="002D4BBB">
      <w:pPr>
        <w:autoSpaceDE w:val="0"/>
        <w:autoSpaceDN w:val="0"/>
        <w:adjustRightInd w:val="0"/>
        <w:spacing w:after="0" w:line="240" w:lineRule="auto"/>
        <w:rPr>
          <w:rFonts w:cs="Helv"/>
          <w:color w:val="000000"/>
        </w:rPr>
      </w:pPr>
    </w:p>
    <w:p w:rsidR="002D4BBB" w:rsidRPr="00FB2701" w:rsidRDefault="00C4350B" w:rsidP="002D4BBB">
      <w:pPr>
        <w:autoSpaceDE w:val="0"/>
        <w:autoSpaceDN w:val="0"/>
        <w:adjustRightInd w:val="0"/>
        <w:spacing w:after="0" w:line="240" w:lineRule="auto"/>
        <w:rPr>
          <w:rFonts w:cs="Helv"/>
          <w:color w:val="000000"/>
        </w:rPr>
      </w:pPr>
      <w:r>
        <w:rPr>
          <w:rFonts w:cs="Helv"/>
          <w:color w:val="000000"/>
        </w:rPr>
        <w:t>Subject to funding, w</w:t>
      </w:r>
      <w:r w:rsidR="002D4BBB" w:rsidRPr="00FB2701">
        <w:rPr>
          <w:rFonts w:cs="Helv"/>
          <w:color w:val="000000"/>
        </w:rPr>
        <w:t xml:space="preserve">e are expecting to be able to release data publicly on the ABS website and have considered </w:t>
      </w:r>
      <w:r w:rsidR="0089153B">
        <w:rPr>
          <w:rFonts w:cs="Helv"/>
          <w:color w:val="000000"/>
        </w:rPr>
        <w:t xml:space="preserve">two main options </w:t>
      </w:r>
      <w:r w:rsidR="002D4BBB" w:rsidRPr="00FB2701">
        <w:rPr>
          <w:rFonts w:cs="Helv"/>
          <w:color w:val="000000"/>
        </w:rPr>
        <w:t xml:space="preserve">of disseminating the expanded </w:t>
      </w:r>
      <w:proofErr w:type="spellStart"/>
      <w:r w:rsidR="002D4BBB" w:rsidRPr="00FB2701">
        <w:rPr>
          <w:rFonts w:cs="Helv"/>
          <w:color w:val="000000"/>
        </w:rPr>
        <w:t>disaggregations</w:t>
      </w:r>
      <w:proofErr w:type="spellEnd"/>
      <w:r w:rsidR="002D4BBB" w:rsidRPr="00FB2701">
        <w:rPr>
          <w:rFonts w:cs="Helv"/>
          <w:color w:val="000000"/>
        </w:rPr>
        <w:t>:</w:t>
      </w:r>
    </w:p>
    <w:p w:rsidR="002D4BBB" w:rsidRDefault="002D4BBB" w:rsidP="002D4BBB">
      <w:pPr>
        <w:pStyle w:val="ListParagraph"/>
        <w:numPr>
          <w:ilvl w:val="0"/>
          <w:numId w:val="10"/>
        </w:numPr>
        <w:autoSpaceDE w:val="0"/>
        <w:autoSpaceDN w:val="0"/>
        <w:adjustRightInd w:val="0"/>
        <w:spacing w:before="120" w:after="0" w:line="240" w:lineRule="auto"/>
        <w:ind w:left="709" w:hanging="709"/>
        <w:rPr>
          <w:rFonts w:cs="Helv"/>
          <w:color w:val="000000"/>
        </w:rPr>
      </w:pPr>
      <w:r w:rsidRPr="00350863">
        <w:rPr>
          <w:rFonts w:cs="Helv"/>
          <w:color w:val="000000"/>
        </w:rPr>
        <w:t>Integrate the sub-population indicators with the Gender Indicators (cat. no. 4125.0). This would have the advantage of locating all the data in one publication for easy access. Depending on data availability</w:t>
      </w:r>
      <w:r w:rsidRPr="007F53C4">
        <w:rPr>
          <w:rFonts w:cs="Helv"/>
          <w:color w:val="000000"/>
        </w:rPr>
        <w:t xml:space="preserve"> </w:t>
      </w:r>
      <w:r w:rsidRPr="00350863">
        <w:rPr>
          <w:rFonts w:cs="Helv"/>
          <w:color w:val="000000"/>
        </w:rPr>
        <w:t xml:space="preserve">it may be possible to include sub-population indicators either within existing tables or </w:t>
      </w:r>
      <w:r w:rsidR="0089153B">
        <w:rPr>
          <w:rFonts w:cs="Helv"/>
          <w:color w:val="000000"/>
        </w:rPr>
        <w:t xml:space="preserve">to </w:t>
      </w:r>
      <w:r w:rsidRPr="00350863">
        <w:rPr>
          <w:rFonts w:cs="Helv"/>
          <w:color w:val="000000"/>
        </w:rPr>
        <w:t>include additional</w:t>
      </w:r>
      <w:r>
        <w:rPr>
          <w:rFonts w:cs="Helv"/>
          <w:color w:val="000000"/>
        </w:rPr>
        <w:t xml:space="preserve"> tables.</w:t>
      </w:r>
      <w:r w:rsidR="0089153B">
        <w:rPr>
          <w:rFonts w:cs="Helv"/>
          <w:color w:val="000000"/>
        </w:rPr>
        <w:br/>
      </w:r>
    </w:p>
    <w:p w:rsidR="002D4BBB" w:rsidRPr="007F53C4" w:rsidRDefault="002D4BBB" w:rsidP="002D4BBB">
      <w:pPr>
        <w:pStyle w:val="ListParagraph"/>
        <w:numPr>
          <w:ilvl w:val="0"/>
          <w:numId w:val="10"/>
        </w:numPr>
        <w:autoSpaceDE w:val="0"/>
        <w:autoSpaceDN w:val="0"/>
        <w:adjustRightInd w:val="0"/>
        <w:spacing w:before="120" w:after="0" w:line="240" w:lineRule="auto"/>
        <w:ind w:left="709" w:hanging="709"/>
        <w:rPr>
          <w:rFonts w:cs="Helv"/>
          <w:color w:val="000000"/>
        </w:rPr>
      </w:pPr>
      <w:r>
        <w:rPr>
          <w:rFonts w:cs="Helv"/>
          <w:color w:val="000000"/>
        </w:rPr>
        <w:t>Release separate publications for each sub-population</w:t>
      </w:r>
      <w:r w:rsidR="002C60D9">
        <w:rPr>
          <w:rFonts w:cs="Helv"/>
          <w:color w:val="000000"/>
        </w:rPr>
        <w:t>, for example</w:t>
      </w:r>
      <w:r>
        <w:rPr>
          <w:rFonts w:cs="Helv"/>
          <w:color w:val="000000"/>
        </w:rPr>
        <w:t>:</w:t>
      </w:r>
    </w:p>
    <w:p w:rsidR="002D4BBB" w:rsidRDefault="002D4BBB" w:rsidP="00E93178">
      <w:pPr>
        <w:numPr>
          <w:ilvl w:val="0"/>
          <w:numId w:val="12"/>
        </w:numPr>
        <w:autoSpaceDE w:val="0"/>
        <w:autoSpaceDN w:val="0"/>
        <w:adjustRightInd w:val="0"/>
        <w:spacing w:after="0" w:line="240" w:lineRule="auto"/>
        <w:ind w:left="1276" w:hanging="567"/>
        <w:rPr>
          <w:rFonts w:cs="Helv"/>
          <w:color w:val="000000"/>
        </w:rPr>
      </w:pPr>
      <w:r>
        <w:rPr>
          <w:rFonts w:cs="Helv"/>
          <w:color w:val="000000"/>
        </w:rPr>
        <w:t xml:space="preserve">4126.0 </w:t>
      </w:r>
      <w:r w:rsidRPr="00350863">
        <w:rPr>
          <w:rFonts w:cs="Helv"/>
          <w:color w:val="000000"/>
        </w:rPr>
        <w:t>Gender Indicators</w:t>
      </w:r>
      <w:r w:rsidR="00CA23C2">
        <w:rPr>
          <w:rFonts w:cs="Helv"/>
          <w:color w:val="000000"/>
        </w:rPr>
        <w:t xml:space="preserve">, </w:t>
      </w:r>
      <w:r w:rsidRPr="00350863">
        <w:rPr>
          <w:rFonts w:cs="Helv"/>
          <w:color w:val="000000"/>
        </w:rPr>
        <w:t>Culturally and Linguistically Diverse</w:t>
      </w:r>
      <w:r>
        <w:rPr>
          <w:rFonts w:cs="Helv"/>
          <w:color w:val="000000"/>
        </w:rPr>
        <w:t xml:space="preserve"> people</w:t>
      </w:r>
    </w:p>
    <w:p w:rsidR="002D4BBB" w:rsidRDefault="002D4BBB" w:rsidP="00E93178">
      <w:pPr>
        <w:numPr>
          <w:ilvl w:val="0"/>
          <w:numId w:val="12"/>
        </w:numPr>
        <w:autoSpaceDE w:val="0"/>
        <w:autoSpaceDN w:val="0"/>
        <w:adjustRightInd w:val="0"/>
        <w:spacing w:after="0" w:line="240" w:lineRule="auto"/>
        <w:ind w:left="1276" w:hanging="567"/>
        <w:rPr>
          <w:rFonts w:cs="Helv"/>
          <w:color w:val="000000"/>
        </w:rPr>
      </w:pPr>
      <w:r>
        <w:rPr>
          <w:rFonts w:cs="Helv"/>
          <w:color w:val="000000"/>
        </w:rPr>
        <w:t xml:space="preserve">4127.0 </w:t>
      </w:r>
      <w:r w:rsidRPr="00350863">
        <w:rPr>
          <w:rFonts w:cs="Helv"/>
          <w:color w:val="000000"/>
        </w:rPr>
        <w:t>Gender Indicators</w:t>
      </w:r>
      <w:r w:rsidR="00CA23C2">
        <w:rPr>
          <w:rFonts w:cs="Helv"/>
          <w:color w:val="000000"/>
        </w:rPr>
        <w:t xml:space="preserve">, </w:t>
      </w:r>
      <w:r w:rsidRPr="00350863">
        <w:rPr>
          <w:rFonts w:cs="Helv"/>
          <w:color w:val="000000"/>
        </w:rPr>
        <w:t>Aboriginal and Torres Strait Islander</w:t>
      </w:r>
      <w:r>
        <w:rPr>
          <w:rFonts w:cs="Helv"/>
          <w:color w:val="000000"/>
        </w:rPr>
        <w:t xml:space="preserve"> peoples</w:t>
      </w:r>
    </w:p>
    <w:p w:rsidR="002D4BBB" w:rsidRPr="00041236" w:rsidRDefault="002D4BBB" w:rsidP="00E93178">
      <w:pPr>
        <w:numPr>
          <w:ilvl w:val="0"/>
          <w:numId w:val="12"/>
        </w:numPr>
        <w:autoSpaceDE w:val="0"/>
        <w:autoSpaceDN w:val="0"/>
        <w:adjustRightInd w:val="0"/>
        <w:spacing w:after="0" w:line="240" w:lineRule="auto"/>
        <w:ind w:left="1276" w:hanging="567"/>
        <w:rPr>
          <w:rFonts w:cs="Helv"/>
          <w:color w:val="000000"/>
        </w:rPr>
      </w:pPr>
      <w:r>
        <w:rPr>
          <w:rFonts w:cs="Helv"/>
          <w:color w:val="000000"/>
        </w:rPr>
        <w:lastRenderedPageBreak/>
        <w:t xml:space="preserve">4128.0 </w:t>
      </w:r>
      <w:r w:rsidRPr="00350863">
        <w:rPr>
          <w:rFonts w:cs="Helv"/>
          <w:color w:val="000000"/>
        </w:rPr>
        <w:t>Gender Indicators</w:t>
      </w:r>
      <w:r w:rsidR="00CA23C2">
        <w:rPr>
          <w:rFonts w:cs="Helv"/>
          <w:color w:val="000000"/>
        </w:rPr>
        <w:t xml:space="preserve">, People </w:t>
      </w:r>
      <w:r w:rsidRPr="00350863">
        <w:rPr>
          <w:rFonts w:cs="Helv"/>
          <w:color w:val="000000"/>
        </w:rPr>
        <w:t>with a disability</w:t>
      </w:r>
    </w:p>
    <w:p w:rsidR="002D4BBB" w:rsidRPr="00FB2701" w:rsidRDefault="002D4BBB" w:rsidP="002D4BBB">
      <w:pPr>
        <w:autoSpaceDE w:val="0"/>
        <w:autoSpaceDN w:val="0"/>
        <w:adjustRightInd w:val="0"/>
        <w:spacing w:after="0" w:line="240" w:lineRule="auto"/>
        <w:rPr>
          <w:rFonts w:cs="Helv"/>
          <w:color w:val="000000"/>
        </w:rPr>
      </w:pPr>
    </w:p>
    <w:p w:rsidR="002C60D9" w:rsidRDefault="002D4BBB" w:rsidP="002D4BBB">
      <w:pPr>
        <w:autoSpaceDE w:val="0"/>
        <w:autoSpaceDN w:val="0"/>
        <w:adjustRightInd w:val="0"/>
        <w:spacing w:after="0" w:line="240" w:lineRule="auto"/>
        <w:rPr>
          <w:rFonts w:cs="Helv"/>
          <w:color w:val="000000"/>
        </w:rPr>
      </w:pPr>
      <w:r w:rsidRPr="00FB2701">
        <w:rPr>
          <w:rFonts w:cs="Helv"/>
          <w:color w:val="000000"/>
        </w:rPr>
        <w:t xml:space="preserve">While this second option could focus on each sub-population of interest, it would involve more work </w:t>
      </w:r>
      <w:r w:rsidR="002C60D9">
        <w:rPr>
          <w:rFonts w:cs="Helv"/>
          <w:color w:val="000000"/>
        </w:rPr>
        <w:t xml:space="preserve">to establish three new products </w:t>
      </w:r>
      <w:r w:rsidRPr="00FB2701">
        <w:rPr>
          <w:rFonts w:cs="Helv"/>
          <w:color w:val="000000"/>
        </w:rPr>
        <w:t xml:space="preserve">and therefore </w:t>
      </w:r>
      <w:r w:rsidR="0089153B">
        <w:rPr>
          <w:rFonts w:cs="Helv"/>
          <w:color w:val="000000"/>
        </w:rPr>
        <w:t xml:space="preserve">would be </w:t>
      </w:r>
      <w:r w:rsidRPr="00FB2701">
        <w:rPr>
          <w:rFonts w:cs="Helv"/>
          <w:color w:val="000000"/>
        </w:rPr>
        <w:t>more costly. It could also confuse users as to the purpose and value of the main Gender Indicators product.</w:t>
      </w:r>
      <w:r w:rsidR="0089153B">
        <w:rPr>
          <w:rFonts w:cs="Helv"/>
          <w:color w:val="000000"/>
        </w:rPr>
        <w:t xml:space="preserve">  </w:t>
      </w:r>
    </w:p>
    <w:p w:rsidR="002C60D9" w:rsidRDefault="002C60D9" w:rsidP="002D4BBB">
      <w:pPr>
        <w:autoSpaceDE w:val="0"/>
        <w:autoSpaceDN w:val="0"/>
        <w:adjustRightInd w:val="0"/>
        <w:spacing w:after="0" w:line="240" w:lineRule="auto"/>
        <w:rPr>
          <w:rFonts w:cs="Helv"/>
          <w:color w:val="000000"/>
        </w:rPr>
      </w:pPr>
    </w:p>
    <w:p w:rsidR="002D4BBB" w:rsidRPr="00FB2701" w:rsidRDefault="0089153B" w:rsidP="002D4BBB">
      <w:pPr>
        <w:autoSpaceDE w:val="0"/>
        <w:autoSpaceDN w:val="0"/>
        <w:adjustRightInd w:val="0"/>
        <w:spacing w:after="0" w:line="240" w:lineRule="auto"/>
        <w:rPr>
          <w:rFonts w:cs="Helv"/>
          <w:color w:val="000000"/>
        </w:rPr>
      </w:pPr>
      <w:r>
        <w:rPr>
          <w:rFonts w:cs="Helv"/>
          <w:color w:val="000000"/>
        </w:rPr>
        <w:t>Further exploration of release options will be undertaken in phase two as the extent of data which can be released, becomes clearer.</w:t>
      </w:r>
    </w:p>
    <w:p w:rsidR="002D4BBB" w:rsidRPr="00FB2701" w:rsidRDefault="002D4BBB" w:rsidP="002D4BBB">
      <w:pPr>
        <w:autoSpaceDE w:val="0"/>
        <w:autoSpaceDN w:val="0"/>
        <w:adjustRightInd w:val="0"/>
        <w:spacing w:after="0" w:line="240" w:lineRule="auto"/>
        <w:rPr>
          <w:rFonts w:cs="Helv"/>
          <w:color w:val="000000"/>
        </w:rPr>
      </w:pPr>
    </w:p>
    <w:p w:rsidR="002D4BBB" w:rsidRPr="00FB2701" w:rsidRDefault="002D4BBB" w:rsidP="002D4BBB">
      <w:pPr>
        <w:autoSpaceDE w:val="0"/>
        <w:autoSpaceDN w:val="0"/>
        <w:adjustRightInd w:val="0"/>
        <w:spacing w:after="0" w:line="240" w:lineRule="auto"/>
        <w:rPr>
          <w:rFonts w:cs="Helv"/>
          <w:b/>
          <w:bCs/>
          <w:color w:val="000000"/>
        </w:rPr>
      </w:pPr>
      <w:r w:rsidRPr="00FB2701">
        <w:rPr>
          <w:rFonts w:cs="Helv"/>
          <w:b/>
          <w:bCs/>
          <w:color w:val="000000"/>
        </w:rPr>
        <w:t>Frequency of Release</w:t>
      </w:r>
    </w:p>
    <w:p w:rsidR="002D4BBB" w:rsidRPr="00FB2701" w:rsidRDefault="002D4BBB" w:rsidP="002D4BBB">
      <w:pPr>
        <w:autoSpaceDE w:val="0"/>
        <w:autoSpaceDN w:val="0"/>
        <w:adjustRightInd w:val="0"/>
        <w:spacing w:after="0" w:line="240" w:lineRule="auto"/>
        <w:rPr>
          <w:rFonts w:cs="Helv"/>
          <w:color w:val="000000"/>
        </w:rPr>
      </w:pPr>
      <w:r w:rsidRPr="00FB2701">
        <w:rPr>
          <w:rFonts w:cs="Helv"/>
          <w:color w:val="000000"/>
        </w:rPr>
        <w:t xml:space="preserve">While Gender Indicators is updated six-monthly, it is </w:t>
      </w:r>
      <w:r w:rsidR="00DA6C7C">
        <w:rPr>
          <w:rFonts w:cs="Helv"/>
          <w:color w:val="000000"/>
        </w:rPr>
        <w:t>proposed</w:t>
      </w:r>
      <w:r w:rsidRPr="00FB2701">
        <w:rPr>
          <w:rFonts w:cs="Helv"/>
          <w:color w:val="000000"/>
        </w:rPr>
        <w:t xml:space="preserve"> that the additional disaggregated data will only be refreshed when new data is available.</w:t>
      </w:r>
      <w:r w:rsidR="00DA6C7C">
        <w:rPr>
          <w:rFonts w:cs="Helv"/>
          <w:color w:val="000000"/>
        </w:rPr>
        <w:t xml:space="preserve">  Proposals are provided below for updating sub-population data, subject to sufficient resources being available.</w:t>
      </w:r>
      <w:r w:rsidR="00DA6C7C">
        <w:rPr>
          <w:rFonts w:cs="Helv"/>
          <w:color w:val="000000"/>
        </w:rPr>
        <w:br/>
      </w:r>
    </w:p>
    <w:p w:rsidR="00D64342" w:rsidRPr="00FB2701" w:rsidRDefault="00DA6C7C" w:rsidP="00D64342">
      <w:pPr>
        <w:numPr>
          <w:ilvl w:val="0"/>
          <w:numId w:val="1"/>
        </w:numPr>
        <w:autoSpaceDE w:val="0"/>
        <w:autoSpaceDN w:val="0"/>
        <w:adjustRightInd w:val="0"/>
        <w:spacing w:after="0" w:line="240" w:lineRule="auto"/>
        <w:ind w:left="360" w:hanging="360"/>
        <w:rPr>
          <w:rFonts w:cs="Helv"/>
          <w:color w:val="000000"/>
        </w:rPr>
      </w:pPr>
      <w:r>
        <w:rPr>
          <w:rFonts w:cs="Helv"/>
          <w:color w:val="000000"/>
        </w:rPr>
        <w:t xml:space="preserve">Aboriginal and Torres Strait Islander people – proposed for </w:t>
      </w:r>
      <w:proofErr w:type="gramStart"/>
      <w:r>
        <w:rPr>
          <w:rFonts w:cs="Helv"/>
          <w:color w:val="000000"/>
        </w:rPr>
        <w:t>approximately  three</w:t>
      </w:r>
      <w:proofErr w:type="gramEnd"/>
      <w:r>
        <w:rPr>
          <w:rFonts w:cs="Helv"/>
          <w:color w:val="000000"/>
        </w:rPr>
        <w:t xml:space="preserve"> yearly updates.  </w:t>
      </w:r>
      <w:r>
        <w:rPr>
          <w:rFonts w:cs="Helv"/>
          <w:color w:val="000000"/>
        </w:rPr>
        <w:br/>
      </w:r>
      <w:r w:rsidR="00D64342" w:rsidRPr="00FB2701">
        <w:rPr>
          <w:rFonts w:cs="Helv"/>
          <w:color w:val="000000"/>
        </w:rPr>
        <w:t xml:space="preserve">The </w:t>
      </w:r>
      <w:r w:rsidR="00D64342">
        <w:rPr>
          <w:rFonts w:cs="Helv"/>
          <w:color w:val="000000"/>
        </w:rPr>
        <w:t xml:space="preserve">National Aboriginal and Torres Strait Islander Health Survey results were released in 2013 and the </w:t>
      </w:r>
      <w:r w:rsidR="00D64342" w:rsidRPr="00FB2701">
        <w:rPr>
          <w:rFonts w:cs="Helv"/>
          <w:color w:val="000000"/>
        </w:rPr>
        <w:t>next N</w:t>
      </w:r>
      <w:r w:rsidR="00D64342">
        <w:rPr>
          <w:rFonts w:cs="Helv"/>
          <w:color w:val="000000"/>
        </w:rPr>
        <w:t xml:space="preserve">ational Aboriginal and Torres Strait Islander Survey </w:t>
      </w:r>
      <w:r w:rsidR="00D64342" w:rsidRPr="00FB2701">
        <w:rPr>
          <w:rFonts w:cs="Helv"/>
          <w:color w:val="000000"/>
        </w:rPr>
        <w:t>commenc</w:t>
      </w:r>
      <w:r w:rsidR="00D64342">
        <w:rPr>
          <w:rFonts w:cs="Helv"/>
          <w:color w:val="000000"/>
        </w:rPr>
        <w:t xml:space="preserve">es </w:t>
      </w:r>
      <w:r w:rsidR="00D64342" w:rsidRPr="00FB2701">
        <w:rPr>
          <w:rFonts w:cs="Helv"/>
          <w:color w:val="000000"/>
        </w:rPr>
        <w:t>in 2014</w:t>
      </w:r>
      <w:r w:rsidR="00D64342">
        <w:rPr>
          <w:rFonts w:cs="Helv"/>
          <w:color w:val="000000"/>
        </w:rPr>
        <w:t xml:space="preserve">, with results </w:t>
      </w:r>
      <w:r>
        <w:rPr>
          <w:rFonts w:cs="Helv"/>
          <w:color w:val="000000"/>
        </w:rPr>
        <w:t xml:space="preserve">expected to be </w:t>
      </w:r>
      <w:r w:rsidR="00D64342">
        <w:rPr>
          <w:rFonts w:cs="Helv"/>
          <w:color w:val="000000"/>
        </w:rPr>
        <w:t>available for release in Gender Indicators, February 2016</w:t>
      </w:r>
      <w:r w:rsidR="00D64342" w:rsidRPr="00FB2701">
        <w:rPr>
          <w:rFonts w:cs="Helv"/>
          <w:color w:val="000000"/>
        </w:rPr>
        <w:t xml:space="preserve">. </w:t>
      </w:r>
      <w:r>
        <w:rPr>
          <w:rFonts w:cs="Helv"/>
          <w:color w:val="000000"/>
        </w:rPr>
        <w:br/>
      </w:r>
    </w:p>
    <w:p w:rsidR="00D64342" w:rsidRPr="00C34720" w:rsidRDefault="00DA6C7C" w:rsidP="00D64342">
      <w:pPr>
        <w:numPr>
          <w:ilvl w:val="0"/>
          <w:numId w:val="1"/>
        </w:numPr>
        <w:autoSpaceDE w:val="0"/>
        <w:autoSpaceDN w:val="0"/>
        <w:adjustRightInd w:val="0"/>
        <w:spacing w:after="0" w:line="240" w:lineRule="auto"/>
        <w:ind w:left="360" w:hanging="360"/>
        <w:rPr>
          <w:rFonts w:cs="Helv"/>
          <w:color w:val="000000"/>
        </w:rPr>
      </w:pPr>
      <w:r>
        <w:rPr>
          <w:rFonts w:cs="Helv"/>
          <w:color w:val="000000"/>
        </w:rPr>
        <w:t>Culturally and Linguistically Diverse people – proposed for annual update.</w:t>
      </w:r>
      <w:r>
        <w:rPr>
          <w:rFonts w:cs="Helv"/>
          <w:color w:val="000000"/>
        </w:rPr>
        <w:br/>
      </w:r>
      <w:r w:rsidR="00D64342" w:rsidRPr="00FB2701">
        <w:rPr>
          <w:rFonts w:cs="Helv"/>
          <w:color w:val="000000"/>
        </w:rPr>
        <w:t>As Country of Birth is collected in all ABS surveys, it would be possible to release the CALD data annually</w:t>
      </w:r>
      <w:r w:rsidR="00D64342">
        <w:rPr>
          <w:rFonts w:cs="Helv"/>
          <w:color w:val="000000"/>
        </w:rPr>
        <w:t>.</w:t>
      </w:r>
      <w:r>
        <w:rPr>
          <w:rFonts w:cs="Helv"/>
          <w:color w:val="000000"/>
        </w:rPr>
        <w:br/>
      </w:r>
    </w:p>
    <w:p w:rsidR="002D4BBB" w:rsidRPr="00FB2701" w:rsidRDefault="00DA6C7C" w:rsidP="002D4BBB">
      <w:pPr>
        <w:numPr>
          <w:ilvl w:val="0"/>
          <w:numId w:val="1"/>
        </w:numPr>
        <w:autoSpaceDE w:val="0"/>
        <w:autoSpaceDN w:val="0"/>
        <w:adjustRightInd w:val="0"/>
        <w:spacing w:after="0" w:line="240" w:lineRule="auto"/>
        <w:ind w:left="360" w:hanging="360"/>
        <w:rPr>
          <w:rFonts w:cs="Helv"/>
          <w:color w:val="000000"/>
        </w:rPr>
      </w:pPr>
      <w:r>
        <w:rPr>
          <w:rFonts w:cs="Helv"/>
          <w:color w:val="000000"/>
        </w:rPr>
        <w:t>Persons wi</w:t>
      </w:r>
      <w:r w:rsidR="00E93178">
        <w:rPr>
          <w:rFonts w:cs="Helv"/>
          <w:color w:val="000000"/>
        </w:rPr>
        <w:t xml:space="preserve">th a disability – proposed for </w:t>
      </w:r>
      <w:proofErr w:type="gramStart"/>
      <w:r>
        <w:rPr>
          <w:rFonts w:cs="Helv"/>
          <w:color w:val="000000"/>
        </w:rPr>
        <w:t>approximately  three</w:t>
      </w:r>
      <w:proofErr w:type="gramEnd"/>
      <w:r>
        <w:rPr>
          <w:rFonts w:cs="Helv"/>
          <w:color w:val="000000"/>
        </w:rPr>
        <w:t xml:space="preserve"> yearly updates.  </w:t>
      </w:r>
      <w:r>
        <w:rPr>
          <w:rFonts w:cs="Helv"/>
          <w:color w:val="000000"/>
        </w:rPr>
        <w:br/>
      </w:r>
      <w:r w:rsidR="002D4BBB" w:rsidRPr="00FB2701">
        <w:rPr>
          <w:rFonts w:cs="Helv"/>
          <w:color w:val="000000"/>
        </w:rPr>
        <w:t>The Survey of Disability, Ageing and Carers (SDAC) is</w:t>
      </w:r>
      <w:r w:rsidR="00D64342">
        <w:rPr>
          <w:rFonts w:cs="Helv"/>
          <w:color w:val="000000"/>
        </w:rPr>
        <w:t xml:space="preserve"> conducted</w:t>
      </w:r>
      <w:r w:rsidR="002D4BBB" w:rsidRPr="00FB2701">
        <w:rPr>
          <w:rFonts w:cs="Helv"/>
          <w:color w:val="000000"/>
        </w:rPr>
        <w:t xml:space="preserve"> three</w:t>
      </w:r>
      <w:r>
        <w:rPr>
          <w:rFonts w:cs="Helv"/>
          <w:color w:val="000000"/>
        </w:rPr>
        <w:t xml:space="preserve"> </w:t>
      </w:r>
      <w:r w:rsidR="002D4BBB" w:rsidRPr="00FB2701">
        <w:rPr>
          <w:rFonts w:cs="Helv"/>
          <w:color w:val="000000"/>
        </w:rPr>
        <w:t xml:space="preserve">yearly </w:t>
      </w:r>
      <w:r w:rsidR="00D64342">
        <w:rPr>
          <w:rFonts w:cs="Helv"/>
          <w:color w:val="000000"/>
        </w:rPr>
        <w:t xml:space="preserve">with 2012 results released in 2013 </w:t>
      </w:r>
      <w:r w:rsidR="002D4BBB" w:rsidRPr="00FB2701">
        <w:rPr>
          <w:rFonts w:cs="Helv"/>
          <w:color w:val="000000"/>
        </w:rPr>
        <w:t xml:space="preserve">and </w:t>
      </w:r>
      <w:r w:rsidR="00D64342">
        <w:rPr>
          <w:rFonts w:cs="Helv"/>
          <w:color w:val="000000"/>
        </w:rPr>
        <w:t xml:space="preserve">results from the 2015 survey </w:t>
      </w:r>
      <w:r>
        <w:rPr>
          <w:rFonts w:cs="Helv"/>
          <w:color w:val="000000"/>
        </w:rPr>
        <w:t xml:space="preserve">expected to be </w:t>
      </w:r>
      <w:r w:rsidR="00D64342">
        <w:rPr>
          <w:rFonts w:cs="Helv"/>
          <w:color w:val="000000"/>
        </w:rPr>
        <w:t>available for release in Gender Indicators</w:t>
      </w:r>
      <w:r>
        <w:rPr>
          <w:rFonts w:cs="Helv"/>
          <w:color w:val="000000"/>
        </w:rPr>
        <w:t xml:space="preserve">, </w:t>
      </w:r>
      <w:r w:rsidR="00D64342">
        <w:rPr>
          <w:rFonts w:cs="Helv"/>
          <w:color w:val="000000"/>
        </w:rPr>
        <w:t>February 2017.</w:t>
      </w:r>
    </w:p>
    <w:p w:rsidR="00034344" w:rsidRPr="00041236" w:rsidRDefault="00034344" w:rsidP="00034344">
      <w:pPr>
        <w:numPr>
          <w:ilvl w:val="0"/>
          <w:numId w:val="9"/>
        </w:numPr>
        <w:spacing w:before="240" w:after="240" w:line="240" w:lineRule="auto"/>
        <w:ind w:left="0" w:firstLine="0"/>
        <w:rPr>
          <w:b/>
        </w:rPr>
      </w:pPr>
      <w:r>
        <w:rPr>
          <w:b/>
        </w:rPr>
        <w:t>Next Steps</w:t>
      </w:r>
    </w:p>
    <w:p w:rsidR="00FB2701" w:rsidRPr="00FB2701" w:rsidRDefault="00FB2701" w:rsidP="00FB2701">
      <w:pPr>
        <w:autoSpaceDE w:val="0"/>
        <w:autoSpaceDN w:val="0"/>
        <w:adjustRightInd w:val="0"/>
        <w:spacing w:after="120" w:line="240" w:lineRule="auto"/>
        <w:rPr>
          <w:rFonts w:cs="Arial"/>
          <w:color w:val="000000"/>
        </w:rPr>
      </w:pPr>
      <w:r w:rsidRPr="00FB2701">
        <w:rPr>
          <w:rFonts w:cs="Helv"/>
          <w:color w:val="000000"/>
        </w:rPr>
        <w:t xml:space="preserve">Feedback from members will be incorporated into a final report for phase one, to be provided to the Office for Women in June 2014. </w:t>
      </w:r>
      <w:r w:rsidRPr="00FB2701">
        <w:rPr>
          <w:rFonts w:cs="Arial"/>
          <w:color w:val="000000"/>
        </w:rPr>
        <w:t>The early findings confirm a second phase of the project should be conducted</w:t>
      </w:r>
      <w:r w:rsidR="00D64342">
        <w:rPr>
          <w:rFonts w:cs="Arial"/>
          <w:color w:val="000000"/>
        </w:rPr>
        <w:t xml:space="preserve"> to </w:t>
      </w:r>
      <w:r w:rsidR="00225F06">
        <w:rPr>
          <w:rFonts w:cs="Arial"/>
          <w:color w:val="000000"/>
        </w:rPr>
        <w:t>establish</w:t>
      </w:r>
      <w:r w:rsidR="00D64342">
        <w:rPr>
          <w:rFonts w:cs="Arial"/>
          <w:color w:val="000000"/>
        </w:rPr>
        <w:t xml:space="preserve"> the extent of releasable data for each sub</w:t>
      </w:r>
      <w:r w:rsidR="00DA6C7C">
        <w:rPr>
          <w:rFonts w:cs="Arial"/>
          <w:color w:val="000000"/>
        </w:rPr>
        <w:t>-</w:t>
      </w:r>
      <w:r w:rsidR="00D64342">
        <w:rPr>
          <w:rFonts w:cs="Arial"/>
          <w:color w:val="000000"/>
        </w:rPr>
        <w:t>population</w:t>
      </w:r>
      <w:r w:rsidRPr="00FB2701">
        <w:rPr>
          <w:rFonts w:cs="Arial"/>
          <w:color w:val="000000"/>
        </w:rPr>
        <w:t xml:space="preserve">. </w:t>
      </w:r>
      <w:r w:rsidR="002C60D9">
        <w:rPr>
          <w:rFonts w:cs="Arial"/>
          <w:color w:val="000000"/>
        </w:rPr>
        <w:t>W</w:t>
      </w:r>
      <w:r w:rsidR="002C60D9" w:rsidRPr="002C60D9">
        <w:rPr>
          <w:rFonts w:cs="Arial"/>
        </w:rPr>
        <w:t>ith funding from the Office for Women</w:t>
      </w:r>
      <w:r w:rsidR="002C60D9">
        <w:rPr>
          <w:rFonts w:cs="Arial"/>
        </w:rPr>
        <w:t>, t</w:t>
      </w:r>
      <w:r w:rsidRPr="00FB2701">
        <w:rPr>
          <w:rFonts w:cs="Arial"/>
          <w:color w:val="000000"/>
        </w:rPr>
        <w:t>he second phase i</w:t>
      </w:r>
      <w:r w:rsidR="00D64342">
        <w:rPr>
          <w:rFonts w:cs="Arial"/>
          <w:color w:val="000000"/>
        </w:rPr>
        <w:t>s expected to commence i</w:t>
      </w:r>
      <w:r w:rsidR="002C60D9">
        <w:rPr>
          <w:rFonts w:cs="Arial"/>
          <w:color w:val="000000"/>
        </w:rPr>
        <w:t xml:space="preserve">n 2014-15. </w:t>
      </w:r>
    </w:p>
    <w:p w:rsidR="00FB2701" w:rsidRPr="00FB2701" w:rsidRDefault="00FB2701" w:rsidP="00FB2701">
      <w:pPr>
        <w:autoSpaceDE w:val="0"/>
        <w:autoSpaceDN w:val="0"/>
        <w:adjustRightInd w:val="0"/>
        <w:spacing w:after="0" w:line="240" w:lineRule="auto"/>
        <w:rPr>
          <w:rFonts w:cs="Arial"/>
          <w:color w:val="000000"/>
        </w:rPr>
      </w:pPr>
      <w:r w:rsidRPr="00FB2701">
        <w:rPr>
          <w:rFonts w:cs="Arial"/>
          <w:color w:val="000000"/>
        </w:rPr>
        <w:t xml:space="preserve">Phase two will examine ABS and non-ABS data sources </w:t>
      </w:r>
      <w:r w:rsidR="00D64342">
        <w:rPr>
          <w:rFonts w:cs="Arial"/>
          <w:color w:val="000000"/>
        </w:rPr>
        <w:t>to determine</w:t>
      </w:r>
      <w:r w:rsidRPr="00FB2701">
        <w:rPr>
          <w:rFonts w:cs="Arial"/>
          <w:color w:val="000000"/>
        </w:rPr>
        <w:t xml:space="preserve"> whether they are sufficiently robust to enable reporting</w:t>
      </w:r>
      <w:r w:rsidR="00D64342">
        <w:rPr>
          <w:rFonts w:cs="Arial"/>
          <w:color w:val="000000"/>
        </w:rPr>
        <w:t xml:space="preserve"> the key series for each sub</w:t>
      </w:r>
      <w:r w:rsidR="00DA6C7C">
        <w:rPr>
          <w:rFonts w:cs="Arial"/>
          <w:color w:val="000000"/>
        </w:rPr>
        <w:t>-</w:t>
      </w:r>
      <w:r w:rsidR="00D64342">
        <w:rPr>
          <w:rFonts w:cs="Arial"/>
          <w:color w:val="000000"/>
        </w:rPr>
        <w:t>population</w:t>
      </w:r>
      <w:r w:rsidRPr="00FB2701">
        <w:rPr>
          <w:rFonts w:cs="Arial"/>
          <w:color w:val="000000"/>
        </w:rPr>
        <w:t>. Gender Indicators uses data sources which are suitable for the whole population but they may not be as suitable for smaller sub</w:t>
      </w:r>
      <w:r w:rsidR="00DA6C7C">
        <w:rPr>
          <w:rFonts w:cs="Arial"/>
          <w:color w:val="000000"/>
        </w:rPr>
        <w:t>-</w:t>
      </w:r>
      <w:r w:rsidRPr="00FB2701">
        <w:rPr>
          <w:rFonts w:cs="Arial"/>
          <w:color w:val="000000"/>
        </w:rPr>
        <w:t xml:space="preserve">populations such as Aboriginal and Torres Strait Islander peoples, CALD people and people with a disability. </w:t>
      </w:r>
      <w:r w:rsidR="00CA23C2" w:rsidRPr="002C60D9">
        <w:rPr>
          <w:rFonts w:cs="Arial"/>
        </w:rPr>
        <w:t>Reporting of findings wil</w:t>
      </w:r>
      <w:r w:rsidR="00CA23C2">
        <w:rPr>
          <w:rFonts w:cs="Arial"/>
        </w:rPr>
        <w:t>l be provid</w:t>
      </w:r>
      <w:r w:rsidR="00CA23C2" w:rsidRPr="002C60D9">
        <w:rPr>
          <w:rFonts w:cs="Arial"/>
        </w:rPr>
        <w:t>ed to the Office for Women</w:t>
      </w:r>
      <w:r w:rsidR="00CA23C2" w:rsidRPr="00FB2701">
        <w:rPr>
          <w:rFonts w:cs="Arial"/>
          <w:color w:val="000000"/>
        </w:rPr>
        <w:t xml:space="preserve"> and the Gender Statistics Advisory Group</w:t>
      </w:r>
      <w:r w:rsidR="00CA23C2">
        <w:rPr>
          <w:rFonts w:cs="Arial"/>
          <w:color w:val="000000"/>
        </w:rPr>
        <w:t xml:space="preserve"> in first half 2015.</w:t>
      </w:r>
    </w:p>
    <w:p w:rsidR="00FB2701" w:rsidRPr="00FB2701" w:rsidRDefault="00FB2701" w:rsidP="00FB2701">
      <w:pPr>
        <w:autoSpaceDE w:val="0"/>
        <w:autoSpaceDN w:val="0"/>
        <w:adjustRightInd w:val="0"/>
        <w:spacing w:after="0" w:line="240" w:lineRule="auto"/>
        <w:rPr>
          <w:rFonts w:cs="Arial"/>
          <w:color w:val="000000"/>
        </w:rPr>
      </w:pPr>
    </w:p>
    <w:p w:rsidR="00FB2701" w:rsidRPr="00FB2701" w:rsidRDefault="00FB2701" w:rsidP="00FB2701">
      <w:pPr>
        <w:autoSpaceDE w:val="0"/>
        <w:autoSpaceDN w:val="0"/>
        <w:adjustRightInd w:val="0"/>
        <w:spacing w:after="0" w:line="240" w:lineRule="auto"/>
        <w:rPr>
          <w:rFonts w:cs="Arial"/>
          <w:color w:val="000000"/>
        </w:rPr>
      </w:pPr>
    </w:p>
    <w:p w:rsidR="00437A8F" w:rsidRDefault="00437A8F" w:rsidP="00437A8F">
      <w:pPr>
        <w:spacing w:before="240"/>
        <w:rPr>
          <w:rFonts w:cs="Helv"/>
          <w:b/>
          <w:bCs/>
          <w:color w:val="000000"/>
        </w:rPr>
      </w:pPr>
    </w:p>
    <w:p w:rsidR="00FB2701" w:rsidRPr="00FB2701" w:rsidRDefault="00FB2701" w:rsidP="00437A8F">
      <w:pPr>
        <w:rPr>
          <w:rFonts w:cs="Helv"/>
          <w:b/>
          <w:bCs/>
          <w:color w:val="000000"/>
        </w:rPr>
      </w:pPr>
      <w:r w:rsidRPr="00FB2701">
        <w:rPr>
          <w:rFonts w:cs="Helv"/>
          <w:b/>
          <w:bCs/>
          <w:color w:val="000000"/>
        </w:rPr>
        <w:br w:type="page"/>
      </w:r>
    </w:p>
    <w:p w:rsidR="00FB2701" w:rsidRDefault="00E41F7C" w:rsidP="00FB2701">
      <w:pPr>
        <w:autoSpaceDE w:val="0"/>
        <w:autoSpaceDN w:val="0"/>
        <w:adjustRightInd w:val="0"/>
        <w:spacing w:after="0" w:line="240" w:lineRule="auto"/>
        <w:jc w:val="right"/>
        <w:rPr>
          <w:rFonts w:cs="Helv"/>
          <w:b/>
          <w:bCs/>
          <w:color w:val="000000"/>
        </w:rPr>
      </w:pPr>
      <w:r>
        <w:rPr>
          <w:rFonts w:cs="Helv"/>
          <w:b/>
          <w:bCs/>
          <w:color w:val="000000"/>
        </w:rPr>
        <w:lastRenderedPageBreak/>
        <w:t>Att</w:t>
      </w:r>
      <w:r w:rsidR="002121E8">
        <w:rPr>
          <w:rFonts w:cs="Helv"/>
          <w:b/>
          <w:bCs/>
          <w:color w:val="000000"/>
        </w:rPr>
        <w:t>achment A</w:t>
      </w:r>
    </w:p>
    <w:p w:rsidR="002D4BBB" w:rsidRDefault="002D4BBB" w:rsidP="002D4BBB">
      <w:pPr>
        <w:autoSpaceDE w:val="0"/>
        <w:autoSpaceDN w:val="0"/>
        <w:adjustRightInd w:val="0"/>
        <w:spacing w:after="0" w:line="240" w:lineRule="auto"/>
        <w:jc w:val="center"/>
        <w:rPr>
          <w:rFonts w:cs="Helv"/>
          <w:b/>
          <w:bCs/>
          <w:color w:val="000000"/>
        </w:rPr>
      </w:pPr>
    </w:p>
    <w:p w:rsidR="001B6539" w:rsidRDefault="00143113" w:rsidP="001B6539">
      <w:pPr>
        <w:autoSpaceDE w:val="0"/>
        <w:autoSpaceDN w:val="0"/>
        <w:adjustRightInd w:val="0"/>
        <w:spacing w:after="0" w:line="240" w:lineRule="auto"/>
        <w:jc w:val="center"/>
        <w:rPr>
          <w:rFonts w:cs="Helv"/>
          <w:b/>
          <w:bCs/>
          <w:color w:val="000000"/>
        </w:rPr>
      </w:pPr>
      <w:r>
        <w:rPr>
          <w:rFonts w:cs="Helv"/>
          <w:b/>
          <w:bCs/>
          <w:color w:val="000000"/>
        </w:rPr>
        <w:t xml:space="preserve">                                        </w:t>
      </w:r>
      <w:r w:rsidR="001B6539">
        <w:rPr>
          <w:rFonts w:cs="Helv"/>
          <w:b/>
          <w:bCs/>
          <w:color w:val="000000"/>
        </w:rPr>
        <w:t xml:space="preserve">Gender Indicators Key series- </w:t>
      </w:r>
      <w:r w:rsidR="00CA23C2">
        <w:rPr>
          <w:rFonts w:cs="Helv"/>
          <w:b/>
          <w:bCs/>
          <w:color w:val="000000"/>
        </w:rPr>
        <w:t>Availability of Sub-population Data</w:t>
      </w:r>
    </w:p>
    <w:p w:rsidR="001B6539" w:rsidRDefault="001B6539" w:rsidP="001B6539">
      <w:pPr>
        <w:autoSpaceDE w:val="0"/>
        <w:autoSpaceDN w:val="0"/>
        <w:adjustRightInd w:val="0"/>
        <w:spacing w:after="0" w:line="240" w:lineRule="auto"/>
        <w:jc w:val="center"/>
        <w:rPr>
          <w:rFonts w:cs="Helv"/>
          <w:b/>
          <w:bCs/>
          <w:color w:val="000000"/>
        </w:rPr>
      </w:pPr>
    </w:p>
    <w:p w:rsidR="00FB2701" w:rsidRPr="00FB2701" w:rsidRDefault="00900783" w:rsidP="00900783">
      <w:pPr>
        <w:autoSpaceDE w:val="0"/>
        <w:autoSpaceDN w:val="0"/>
        <w:adjustRightInd w:val="0"/>
        <w:spacing w:after="0" w:line="240" w:lineRule="auto"/>
        <w:ind w:left="4395" w:right="-563" w:hanging="75"/>
        <w:jc w:val="center"/>
        <w:rPr>
          <w:rFonts w:cs="Helv"/>
          <w:b/>
          <w:bCs/>
          <w:color w:val="000000"/>
        </w:rPr>
      </w:pPr>
      <w:r>
        <w:rPr>
          <w:rFonts w:cs="Helv"/>
          <w:b/>
          <w:bCs/>
          <w:color w:val="000000"/>
        </w:rPr>
        <w:t xml:space="preserve">                      </w:t>
      </w:r>
      <w:r w:rsidR="00DA6C7C">
        <w:rPr>
          <w:rFonts w:cs="Helv"/>
          <w:b/>
          <w:bCs/>
          <w:color w:val="000000"/>
        </w:rPr>
        <w:t xml:space="preserve">         </w:t>
      </w:r>
      <w:r w:rsidR="001B6539">
        <w:rPr>
          <w:rFonts w:cs="Helv"/>
          <w:b/>
          <w:bCs/>
          <w:color w:val="000000"/>
        </w:rPr>
        <w:t xml:space="preserve">Available </w:t>
      </w:r>
      <w:r w:rsidR="001B6539">
        <w:rPr>
          <w:rFonts w:cs="Helv"/>
          <w:b/>
          <w:bCs/>
          <w:color w:val="000000"/>
        </w:rPr>
        <w:tab/>
      </w:r>
      <w:r w:rsidR="001B6539">
        <w:rPr>
          <w:rFonts w:cs="Helv"/>
          <w:b/>
          <w:bCs/>
          <w:color w:val="000000"/>
        </w:rPr>
        <w:tab/>
      </w:r>
      <w:r>
        <w:rPr>
          <w:rFonts w:cs="Helv"/>
          <w:b/>
          <w:bCs/>
          <w:color w:val="000000"/>
        </w:rPr>
        <w:t xml:space="preserve"> </w:t>
      </w:r>
      <w:r w:rsidR="00DA6C7C">
        <w:rPr>
          <w:rFonts w:cs="Helv"/>
          <w:b/>
          <w:bCs/>
          <w:color w:val="000000"/>
        </w:rPr>
        <w:t xml:space="preserve">           </w:t>
      </w:r>
      <w:r w:rsidR="00300163">
        <w:rPr>
          <w:rFonts w:cs="Helv"/>
          <w:b/>
          <w:bCs/>
          <w:color w:val="000000"/>
        </w:rPr>
        <w:t xml:space="preserve"> Not known</w:t>
      </w:r>
    </w:p>
    <w:tbl>
      <w:tblPr>
        <w:tblW w:w="10006" w:type="dxa"/>
        <w:tblInd w:w="-34" w:type="dxa"/>
        <w:tblBorders>
          <w:insideH w:val="single" w:sz="4" w:space="0" w:color="auto"/>
        </w:tblBorders>
        <w:tblLayout w:type="fixed"/>
        <w:tblLook w:val="00A0" w:firstRow="1" w:lastRow="0" w:firstColumn="1" w:lastColumn="0" w:noHBand="0" w:noVBand="0"/>
      </w:tblPr>
      <w:tblGrid>
        <w:gridCol w:w="1985"/>
        <w:gridCol w:w="2509"/>
        <w:gridCol w:w="1460"/>
        <w:gridCol w:w="1288"/>
        <w:gridCol w:w="1405"/>
        <w:gridCol w:w="1359"/>
      </w:tblGrid>
      <w:tr w:rsidR="00FB2701" w:rsidRPr="00FB2701" w:rsidTr="00900783">
        <w:tc>
          <w:tcPr>
            <w:tcW w:w="1985" w:type="dxa"/>
            <w:tcBorders>
              <w:top w:val="single" w:sz="4" w:space="0" w:color="auto"/>
              <w:bottom w:val="nil"/>
            </w:tcBorders>
          </w:tcPr>
          <w:p w:rsidR="00FB2701" w:rsidRPr="00FB2701" w:rsidRDefault="00FB2701" w:rsidP="00FB2701">
            <w:pPr>
              <w:autoSpaceDE w:val="0"/>
              <w:autoSpaceDN w:val="0"/>
              <w:adjustRightInd w:val="0"/>
              <w:spacing w:after="0" w:line="240" w:lineRule="auto"/>
              <w:rPr>
                <w:rFonts w:cs="Helv"/>
                <w:b/>
                <w:bCs/>
                <w:color w:val="000000"/>
              </w:rPr>
            </w:pPr>
            <w:r w:rsidRPr="00FB2701">
              <w:rPr>
                <w:rFonts w:cs="Helv"/>
                <w:b/>
                <w:bCs/>
                <w:color w:val="000000"/>
              </w:rPr>
              <w:t>Sub-population</w:t>
            </w:r>
          </w:p>
        </w:tc>
        <w:tc>
          <w:tcPr>
            <w:tcW w:w="2509" w:type="dxa"/>
            <w:tcBorders>
              <w:top w:val="single" w:sz="4" w:space="0" w:color="auto"/>
              <w:bottom w:val="nil"/>
            </w:tcBorders>
          </w:tcPr>
          <w:p w:rsidR="00FB2701" w:rsidRPr="00FB2701" w:rsidRDefault="00FB2701" w:rsidP="00FB2701">
            <w:pPr>
              <w:autoSpaceDE w:val="0"/>
              <w:autoSpaceDN w:val="0"/>
              <w:adjustRightInd w:val="0"/>
              <w:spacing w:after="0" w:line="240" w:lineRule="auto"/>
              <w:rPr>
                <w:rFonts w:cs="Helv"/>
                <w:b/>
                <w:bCs/>
                <w:color w:val="000000"/>
              </w:rPr>
            </w:pPr>
            <w:r w:rsidRPr="00FB2701">
              <w:rPr>
                <w:rFonts w:cs="Helv"/>
                <w:b/>
                <w:bCs/>
                <w:color w:val="000000"/>
              </w:rPr>
              <w:t>Domain</w:t>
            </w:r>
            <w:r w:rsidR="003D7DAE">
              <w:rPr>
                <w:rFonts w:cs="Helv"/>
                <w:b/>
                <w:bCs/>
                <w:color w:val="000000"/>
              </w:rPr>
              <w:t xml:space="preserve"> (e</w:t>
            </w:r>
            <w:r w:rsidR="00045C9D">
              <w:rPr>
                <w:rFonts w:cs="Helv"/>
                <w:b/>
                <w:bCs/>
                <w:color w:val="000000"/>
              </w:rPr>
              <w:t>)</w:t>
            </w:r>
          </w:p>
        </w:tc>
        <w:tc>
          <w:tcPr>
            <w:tcW w:w="1460" w:type="dxa"/>
            <w:tcBorders>
              <w:top w:val="single" w:sz="4" w:space="0" w:color="auto"/>
              <w:bottom w:val="nil"/>
            </w:tcBorders>
          </w:tcPr>
          <w:p w:rsidR="00FB2701" w:rsidRPr="00FB2701" w:rsidRDefault="00FB2701" w:rsidP="00FB2701">
            <w:pPr>
              <w:autoSpaceDE w:val="0"/>
              <w:autoSpaceDN w:val="0"/>
              <w:adjustRightInd w:val="0"/>
              <w:spacing w:after="0" w:line="240" w:lineRule="auto"/>
              <w:jc w:val="right"/>
              <w:rPr>
                <w:rFonts w:cs="Helv"/>
                <w:b/>
                <w:bCs/>
                <w:color w:val="000000"/>
              </w:rPr>
            </w:pPr>
            <w:r w:rsidRPr="00FB2701">
              <w:rPr>
                <w:rFonts w:cs="Helv"/>
                <w:b/>
                <w:bCs/>
                <w:color w:val="000000"/>
              </w:rPr>
              <w:t xml:space="preserve">Gender Indicator </w:t>
            </w:r>
            <w:r w:rsidR="007033FD">
              <w:rPr>
                <w:rFonts w:cs="Helv"/>
                <w:b/>
                <w:bCs/>
                <w:color w:val="000000"/>
              </w:rPr>
              <w:t xml:space="preserve">Key Series </w:t>
            </w:r>
            <w:r w:rsidRPr="00FB2701">
              <w:rPr>
                <w:rFonts w:cs="Helv"/>
                <w:b/>
                <w:bCs/>
                <w:color w:val="000000"/>
              </w:rPr>
              <w:t>Data Source</w:t>
            </w:r>
            <w:r w:rsidR="00E41F7C">
              <w:rPr>
                <w:rFonts w:cs="Helv"/>
                <w:b/>
                <w:bCs/>
                <w:color w:val="000000"/>
              </w:rPr>
              <w:t>(a)</w:t>
            </w:r>
            <w:r w:rsidR="009566C5">
              <w:rPr>
                <w:rFonts w:cs="Helv"/>
                <w:b/>
                <w:bCs/>
                <w:color w:val="000000"/>
              </w:rPr>
              <w:br/>
            </w:r>
          </w:p>
        </w:tc>
        <w:tc>
          <w:tcPr>
            <w:tcW w:w="1288" w:type="dxa"/>
            <w:tcBorders>
              <w:top w:val="single" w:sz="4" w:space="0" w:color="auto"/>
              <w:bottom w:val="nil"/>
            </w:tcBorders>
          </w:tcPr>
          <w:p w:rsidR="00A861C3" w:rsidRDefault="00894764" w:rsidP="00FB2701">
            <w:pPr>
              <w:autoSpaceDE w:val="0"/>
              <w:autoSpaceDN w:val="0"/>
              <w:adjustRightInd w:val="0"/>
              <w:spacing w:after="0" w:line="240" w:lineRule="auto"/>
              <w:jc w:val="right"/>
              <w:rPr>
                <w:rFonts w:cs="Helv"/>
                <w:b/>
                <w:bCs/>
                <w:color w:val="000000"/>
              </w:rPr>
            </w:pPr>
            <w:r>
              <w:rPr>
                <w:rFonts w:cs="Helv"/>
                <w:b/>
                <w:bCs/>
                <w:color w:val="000000"/>
              </w:rPr>
              <w:t xml:space="preserve"> Gender Indicator </w:t>
            </w:r>
            <w:r w:rsidR="00671F5E">
              <w:rPr>
                <w:rFonts w:cs="Helv"/>
                <w:b/>
                <w:bCs/>
                <w:color w:val="000000"/>
              </w:rPr>
              <w:t>Related Series data</w:t>
            </w:r>
            <w:r w:rsidR="00084453">
              <w:rPr>
                <w:rFonts w:cs="Helv"/>
                <w:b/>
                <w:bCs/>
                <w:color w:val="000000"/>
              </w:rPr>
              <w:t>(b)</w:t>
            </w:r>
          </w:p>
          <w:p w:rsidR="00A861C3" w:rsidRPr="00FB2701" w:rsidRDefault="00A861C3" w:rsidP="00FB2701">
            <w:pPr>
              <w:autoSpaceDE w:val="0"/>
              <w:autoSpaceDN w:val="0"/>
              <w:adjustRightInd w:val="0"/>
              <w:spacing w:after="0" w:line="240" w:lineRule="auto"/>
              <w:jc w:val="right"/>
              <w:rPr>
                <w:rFonts w:cs="Helv"/>
                <w:b/>
                <w:bCs/>
                <w:color w:val="000000"/>
              </w:rPr>
            </w:pPr>
          </w:p>
        </w:tc>
        <w:tc>
          <w:tcPr>
            <w:tcW w:w="1405" w:type="dxa"/>
            <w:tcBorders>
              <w:top w:val="single" w:sz="4" w:space="0" w:color="auto"/>
              <w:bottom w:val="nil"/>
            </w:tcBorders>
          </w:tcPr>
          <w:p w:rsidR="00FB2701" w:rsidRPr="00FB2701" w:rsidRDefault="00D31377" w:rsidP="00437A8F">
            <w:pPr>
              <w:autoSpaceDE w:val="0"/>
              <w:autoSpaceDN w:val="0"/>
              <w:adjustRightInd w:val="0"/>
              <w:spacing w:after="0" w:line="240" w:lineRule="auto"/>
              <w:jc w:val="right"/>
              <w:rPr>
                <w:rFonts w:cs="Helv"/>
                <w:b/>
                <w:bCs/>
                <w:color w:val="000000"/>
              </w:rPr>
            </w:pPr>
            <w:r>
              <w:rPr>
                <w:rFonts w:cs="Helv"/>
                <w:b/>
                <w:bCs/>
                <w:color w:val="000000"/>
              </w:rPr>
              <w:t xml:space="preserve">Other </w:t>
            </w:r>
            <w:r w:rsidR="00FB2701" w:rsidRPr="00FB2701">
              <w:rPr>
                <w:rFonts w:cs="Helv"/>
                <w:b/>
                <w:bCs/>
                <w:color w:val="000000"/>
              </w:rPr>
              <w:t>ABS</w:t>
            </w:r>
            <w:r>
              <w:rPr>
                <w:rFonts w:cs="Helv"/>
                <w:b/>
                <w:bCs/>
                <w:color w:val="000000"/>
              </w:rPr>
              <w:t xml:space="preserve"> survey</w:t>
            </w:r>
            <w:r w:rsidR="00FB2701" w:rsidRPr="00FB2701">
              <w:rPr>
                <w:rFonts w:cs="Helv"/>
                <w:b/>
                <w:bCs/>
                <w:color w:val="000000"/>
              </w:rPr>
              <w:t xml:space="preserve"> data sourc</w:t>
            </w:r>
            <w:r w:rsidR="00084453">
              <w:rPr>
                <w:rFonts w:cs="Helv"/>
                <w:b/>
                <w:bCs/>
                <w:color w:val="000000"/>
              </w:rPr>
              <w:t>e</w:t>
            </w:r>
            <w:r w:rsidR="00437A8F">
              <w:rPr>
                <w:rFonts w:cs="Helv"/>
                <w:b/>
                <w:bCs/>
                <w:color w:val="000000"/>
              </w:rPr>
              <w:t>(c)</w:t>
            </w:r>
            <w:r w:rsidR="00084453">
              <w:rPr>
                <w:rFonts w:cs="Helv"/>
                <w:b/>
                <w:bCs/>
                <w:color w:val="000000"/>
              </w:rPr>
              <w:t xml:space="preserve"> </w:t>
            </w:r>
          </w:p>
        </w:tc>
        <w:tc>
          <w:tcPr>
            <w:tcW w:w="1359" w:type="dxa"/>
            <w:tcBorders>
              <w:top w:val="single" w:sz="4" w:space="0" w:color="auto"/>
              <w:bottom w:val="nil"/>
            </w:tcBorders>
          </w:tcPr>
          <w:p w:rsidR="00FB2701" w:rsidRPr="00FB2701" w:rsidRDefault="00666E00" w:rsidP="00FB2701">
            <w:pPr>
              <w:autoSpaceDE w:val="0"/>
              <w:autoSpaceDN w:val="0"/>
              <w:adjustRightInd w:val="0"/>
              <w:spacing w:after="0" w:line="240" w:lineRule="auto"/>
              <w:jc w:val="right"/>
              <w:rPr>
                <w:rFonts w:cs="Helv"/>
                <w:b/>
                <w:bCs/>
                <w:color w:val="000000"/>
              </w:rPr>
            </w:pPr>
            <w:r>
              <w:rPr>
                <w:rFonts w:cs="Helv"/>
                <w:b/>
                <w:bCs/>
                <w:color w:val="000000"/>
              </w:rPr>
              <w:t>No current source</w:t>
            </w:r>
            <w:r w:rsidR="00FB2F5D">
              <w:rPr>
                <w:rFonts w:cs="Helv"/>
                <w:b/>
                <w:bCs/>
                <w:color w:val="000000"/>
              </w:rPr>
              <w:t xml:space="preserve"> </w:t>
            </w:r>
            <w:r w:rsidR="003D7DAE">
              <w:rPr>
                <w:rFonts w:cs="Helv"/>
                <w:b/>
                <w:bCs/>
                <w:color w:val="000000"/>
              </w:rPr>
              <w:t>(d</w:t>
            </w:r>
            <w:r w:rsidR="00FB2F5D">
              <w:rPr>
                <w:rFonts w:cs="Helv"/>
                <w:b/>
                <w:bCs/>
                <w:color w:val="000000"/>
              </w:rPr>
              <w:t>)</w:t>
            </w:r>
          </w:p>
        </w:tc>
      </w:tr>
      <w:tr w:rsidR="00900783" w:rsidRPr="00FB2701" w:rsidTr="00900783">
        <w:tc>
          <w:tcPr>
            <w:tcW w:w="10006" w:type="dxa"/>
            <w:gridSpan w:val="6"/>
            <w:tcBorders>
              <w:top w:val="nil"/>
              <w:bottom w:val="single" w:sz="4" w:space="0" w:color="auto"/>
            </w:tcBorders>
          </w:tcPr>
          <w:p w:rsidR="00900783" w:rsidRPr="00FB2701" w:rsidRDefault="00900783" w:rsidP="00900783">
            <w:pPr>
              <w:autoSpaceDE w:val="0"/>
              <w:autoSpaceDN w:val="0"/>
              <w:adjustRightInd w:val="0"/>
              <w:spacing w:after="0" w:line="240" w:lineRule="auto"/>
              <w:jc w:val="center"/>
              <w:rPr>
                <w:rFonts w:cs="Helv"/>
                <w:b/>
                <w:bCs/>
                <w:color w:val="000000"/>
              </w:rPr>
            </w:pPr>
            <w:r>
              <w:rPr>
                <w:rFonts w:cs="Helv"/>
                <w:b/>
                <w:bCs/>
                <w:color w:val="000000"/>
              </w:rPr>
              <w:t xml:space="preserve">                                                                            Number</w:t>
            </w:r>
          </w:p>
        </w:tc>
      </w:tr>
      <w:tr w:rsidR="004E5AD2" w:rsidRPr="00FB2701" w:rsidTr="00900783">
        <w:tc>
          <w:tcPr>
            <w:tcW w:w="10006" w:type="dxa"/>
            <w:gridSpan w:val="6"/>
            <w:tcBorders>
              <w:top w:val="single" w:sz="4" w:space="0" w:color="auto"/>
            </w:tcBorders>
          </w:tcPr>
          <w:p w:rsidR="004E5AD2" w:rsidRPr="00FB2701" w:rsidRDefault="004E5AD2" w:rsidP="009566C5">
            <w:pPr>
              <w:autoSpaceDE w:val="0"/>
              <w:autoSpaceDN w:val="0"/>
              <w:adjustRightInd w:val="0"/>
              <w:spacing w:after="0" w:line="240" w:lineRule="auto"/>
              <w:rPr>
                <w:rFonts w:cs="Helv"/>
                <w:color w:val="000000"/>
              </w:rPr>
            </w:pPr>
            <w:r w:rsidRPr="00FB2701">
              <w:rPr>
                <w:rFonts w:cs="Helv"/>
                <w:b/>
                <w:bCs/>
                <w:color w:val="000000"/>
              </w:rPr>
              <w:t xml:space="preserve">Aboriginal and Torres Strait </w:t>
            </w:r>
            <w:r w:rsidR="009566C5">
              <w:rPr>
                <w:rFonts w:cs="Helv"/>
                <w:b/>
                <w:bCs/>
                <w:color w:val="000000"/>
              </w:rPr>
              <w:t>Islander People</w:t>
            </w:r>
          </w:p>
        </w:tc>
      </w:tr>
      <w:tr w:rsidR="004E5AD2" w:rsidRPr="00FB2701" w:rsidTr="00900783">
        <w:tc>
          <w:tcPr>
            <w:tcW w:w="1985" w:type="dxa"/>
            <w:vMerge w:val="restart"/>
            <w:tcBorders>
              <w:top w:val="single" w:sz="4" w:space="0" w:color="auto"/>
            </w:tcBorders>
          </w:tcPr>
          <w:p w:rsidR="004E5AD2" w:rsidRPr="00FB2701" w:rsidRDefault="004E5AD2" w:rsidP="00FB2701">
            <w:pPr>
              <w:autoSpaceDE w:val="0"/>
              <w:autoSpaceDN w:val="0"/>
              <w:adjustRightInd w:val="0"/>
              <w:spacing w:after="0" w:line="240" w:lineRule="auto"/>
              <w:rPr>
                <w:rFonts w:cs="Helv"/>
                <w:b/>
                <w:bCs/>
                <w:color w:val="000000"/>
              </w:rPr>
            </w:pPr>
          </w:p>
        </w:tc>
        <w:tc>
          <w:tcPr>
            <w:tcW w:w="2509" w:type="dxa"/>
            <w:tcBorders>
              <w:top w:val="single" w:sz="4" w:space="0" w:color="auto"/>
            </w:tcBorders>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Economic Security</w:t>
            </w:r>
          </w:p>
        </w:tc>
        <w:tc>
          <w:tcPr>
            <w:tcW w:w="1460" w:type="dxa"/>
            <w:tcBorders>
              <w:top w:val="single" w:sz="4" w:space="0" w:color="auto"/>
            </w:tcBorders>
          </w:tcPr>
          <w:p w:rsidR="004E5AD2" w:rsidRPr="00FB2701" w:rsidRDefault="00EB2858" w:rsidP="00FB2701">
            <w:pPr>
              <w:autoSpaceDE w:val="0"/>
              <w:autoSpaceDN w:val="0"/>
              <w:adjustRightInd w:val="0"/>
              <w:spacing w:after="0" w:line="240" w:lineRule="auto"/>
              <w:jc w:val="right"/>
              <w:rPr>
                <w:rFonts w:cs="Helv"/>
                <w:color w:val="000000"/>
              </w:rPr>
            </w:pPr>
            <w:r>
              <w:rPr>
                <w:rFonts w:cs="Helv"/>
                <w:color w:val="000000"/>
              </w:rPr>
              <w:t>1</w:t>
            </w:r>
          </w:p>
        </w:tc>
        <w:tc>
          <w:tcPr>
            <w:tcW w:w="1288" w:type="dxa"/>
            <w:tcBorders>
              <w:top w:val="single" w:sz="4" w:space="0" w:color="auto"/>
            </w:tcBorders>
          </w:tcPr>
          <w:p w:rsidR="004E5AD2" w:rsidRPr="00FB2701" w:rsidRDefault="0028602D" w:rsidP="00FB2701">
            <w:pPr>
              <w:autoSpaceDE w:val="0"/>
              <w:autoSpaceDN w:val="0"/>
              <w:adjustRightInd w:val="0"/>
              <w:spacing w:after="0" w:line="240" w:lineRule="auto"/>
              <w:jc w:val="right"/>
              <w:rPr>
                <w:rFonts w:cs="Helv"/>
                <w:color w:val="000000"/>
              </w:rPr>
            </w:pPr>
            <w:r>
              <w:rPr>
                <w:rFonts w:cs="Helv"/>
                <w:color w:val="000000"/>
              </w:rPr>
              <w:t>9</w:t>
            </w:r>
          </w:p>
        </w:tc>
        <w:tc>
          <w:tcPr>
            <w:tcW w:w="1405" w:type="dxa"/>
            <w:tcBorders>
              <w:top w:val="single" w:sz="4" w:space="0" w:color="auto"/>
            </w:tcBorders>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Borders>
              <w:top w:val="single" w:sz="4" w:space="0" w:color="auto"/>
            </w:tcBorders>
          </w:tcPr>
          <w:p w:rsidR="004E5AD2" w:rsidRPr="00FB2701" w:rsidRDefault="0028602D" w:rsidP="00FB2701">
            <w:pPr>
              <w:autoSpaceDE w:val="0"/>
              <w:autoSpaceDN w:val="0"/>
              <w:adjustRightInd w:val="0"/>
              <w:spacing w:after="0" w:line="240" w:lineRule="auto"/>
              <w:jc w:val="right"/>
              <w:rPr>
                <w:rFonts w:cs="Helv"/>
                <w:color w:val="000000"/>
              </w:rPr>
            </w:pPr>
            <w:r>
              <w:rPr>
                <w:rFonts w:cs="Helv"/>
                <w:color w:val="000000"/>
              </w:rPr>
              <w:t>1</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Education</w:t>
            </w:r>
          </w:p>
        </w:tc>
        <w:tc>
          <w:tcPr>
            <w:tcW w:w="1460" w:type="dxa"/>
          </w:tcPr>
          <w:p w:rsidR="004E5AD2" w:rsidRPr="00FB2701" w:rsidRDefault="007B2A55" w:rsidP="00FB2701">
            <w:pPr>
              <w:autoSpaceDE w:val="0"/>
              <w:autoSpaceDN w:val="0"/>
              <w:adjustRightInd w:val="0"/>
              <w:spacing w:after="0" w:line="240" w:lineRule="auto"/>
              <w:jc w:val="right"/>
              <w:rPr>
                <w:rFonts w:cs="Helv"/>
                <w:color w:val="000000"/>
              </w:rPr>
            </w:pPr>
            <w:r>
              <w:rPr>
                <w:rFonts w:cs="Helv"/>
                <w:color w:val="000000"/>
              </w:rPr>
              <w:t>-</w:t>
            </w:r>
          </w:p>
        </w:tc>
        <w:tc>
          <w:tcPr>
            <w:tcW w:w="1288" w:type="dxa"/>
          </w:tcPr>
          <w:p w:rsidR="004E5AD2" w:rsidRPr="00FB2701" w:rsidRDefault="00675F1D" w:rsidP="00FB2701">
            <w:pPr>
              <w:autoSpaceDE w:val="0"/>
              <w:autoSpaceDN w:val="0"/>
              <w:adjustRightInd w:val="0"/>
              <w:spacing w:after="0" w:line="240" w:lineRule="auto"/>
              <w:jc w:val="right"/>
              <w:rPr>
                <w:rFonts w:cs="Helv"/>
                <w:color w:val="000000"/>
              </w:rPr>
            </w:pPr>
            <w:r>
              <w:rPr>
                <w:rFonts w:cs="Helv"/>
                <w:color w:val="000000"/>
              </w:rPr>
              <w:t>6</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7B2A55" w:rsidP="00FB2701">
            <w:pPr>
              <w:autoSpaceDE w:val="0"/>
              <w:autoSpaceDN w:val="0"/>
              <w:adjustRightInd w:val="0"/>
              <w:spacing w:after="0" w:line="240" w:lineRule="auto"/>
              <w:jc w:val="right"/>
              <w:rPr>
                <w:rFonts w:cs="Helv"/>
                <w:color w:val="000000"/>
              </w:rPr>
            </w:pPr>
            <w:r>
              <w:rPr>
                <w:rFonts w:cs="Helv"/>
                <w:color w:val="000000"/>
              </w:rPr>
              <w:t>1</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Health</w:t>
            </w:r>
          </w:p>
        </w:tc>
        <w:tc>
          <w:tcPr>
            <w:tcW w:w="1460" w:type="dxa"/>
          </w:tcPr>
          <w:p w:rsidR="004E5AD2" w:rsidRPr="00FB2701" w:rsidRDefault="00266B29" w:rsidP="00FB2701">
            <w:pPr>
              <w:autoSpaceDE w:val="0"/>
              <w:autoSpaceDN w:val="0"/>
              <w:adjustRightInd w:val="0"/>
              <w:spacing w:after="0" w:line="240" w:lineRule="auto"/>
              <w:jc w:val="right"/>
              <w:rPr>
                <w:rFonts w:cs="Helv"/>
                <w:color w:val="000000"/>
              </w:rPr>
            </w:pPr>
            <w:r>
              <w:rPr>
                <w:rFonts w:cs="Helv"/>
                <w:color w:val="000000"/>
              </w:rPr>
              <w:t>7</w:t>
            </w:r>
          </w:p>
        </w:tc>
        <w:tc>
          <w:tcPr>
            <w:tcW w:w="1288" w:type="dxa"/>
          </w:tcPr>
          <w:p w:rsidR="004E5AD2" w:rsidRPr="00FB2701" w:rsidRDefault="00266B29" w:rsidP="00FB2701">
            <w:pPr>
              <w:autoSpaceDE w:val="0"/>
              <w:autoSpaceDN w:val="0"/>
              <w:adjustRightInd w:val="0"/>
              <w:spacing w:after="0" w:line="240" w:lineRule="auto"/>
              <w:jc w:val="right"/>
              <w:rPr>
                <w:rFonts w:cs="Helv"/>
                <w:color w:val="000000"/>
              </w:rPr>
            </w:pPr>
            <w:r>
              <w:rPr>
                <w:rFonts w:cs="Helv"/>
                <w:color w:val="000000"/>
              </w:rPr>
              <w:t>7</w:t>
            </w:r>
          </w:p>
        </w:tc>
        <w:tc>
          <w:tcPr>
            <w:tcW w:w="1405" w:type="dxa"/>
          </w:tcPr>
          <w:p w:rsidR="004E5AD2" w:rsidRPr="00FB2701" w:rsidRDefault="0058109E" w:rsidP="00FB2701">
            <w:pPr>
              <w:autoSpaceDE w:val="0"/>
              <w:autoSpaceDN w:val="0"/>
              <w:adjustRightInd w:val="0"/>
              <w:spacing w:after="0" w:line="240" w:lineRule="auto"/>
              <w:jc w:val="right"/>
              <w:rPr>
                <w:rFonts w:cs="Helv"/>
                <w:color w:val="000000"/>
              </w:rPr>
            </w:pPr>
            <w:r>
              <w:rPr>
                <w:rFonts w:cs="Helv"/>
                <w:color w:val="000000"/>
              </w:rPr>
              <w:t>-</w:t>
            </w:r>
          </w:p>
        </w:tc>
        <w:tc>
          <w:tcPr>
            <w:tcW w:w="1359" w:type="dxa"/>
          </w:tcPr>
          <w:p w:rsidR="004E5AD2" w:rsidRPr="00FB2701" w:rsidRDefault="00266B29" w:rsidP="00FB2701">
            <w:pPr>
              <w:autoSpaceDE w:val="0"/>
              <w:autoSpaceDN w:val="0"/>
              <w:adjustRightInd w:val="0"/>
              <w:spacing w:after="0" w:line="240" w:lineRule="auto"/>
              <w:jc w:val="right"/>
              <w:rPr>
                <w:rFonts w:cs="Helv"/>
                <w:color w:val="000000"/>
              </w:rPr>
            </w:pPr>
            <w:r>
              <w:rPr>
                <w:rFonts w:cs="Helv"/>
                <w:color w:val="000000"/>
              </w:rPr>
              <w:t>3</w:t>
            </w:r>
          </w:p>
        </w:tc>
      </w:tr>
      <w:tr w:rsidR="004E5AD2" w:rsidRPr="00FB2701" w:rsidTr="00900783">
        <w:tc>
          <w:tcPr>
            <w:tcW w:w="1985" w:type="dxa"/>
            <w:vMerge/>
          </w:tcPr>
          <w:p w:rsidR="004E5AD2" w:rsidRPr="00FB2701" w:rsidRDefault="004E5AD2">
            <w:pPr>
              <w:keepNext/>
              <w:keepLines/>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Work and Family</w:t>
            </w:r>
          </w:p>
        </w:tc>
        <w:tc>
          <w:tcPr>
            <w:tcW w:w="1460" w:type="dxa"/>
          </w:tcPr>
          <w:p w:rsidR="004E5AD2" w:rsidRPr="00FB2701" w:rsidRDefault="005757C5" w:rsidP="00FB2701">
            <w:pPr>
              <w:autoSpaceDE w:val="0"/>
              <w:autoSpaceDN w:val="0"/>
              <w:adjustRightInd w:val="0"/>
              <w:spacing w:after="0" w:line="240" w:lineRule="auto"/>
              <w:jc w:val="right"/>
              <w:rPr>
                <w:rFonts w:cs="Helv"/>
                <w:color w:val="000000"/>
              </w:rPr>
            </w:pPr>
            <w:r>
              <w:rPr>
                <w:rFonts w:cs="Helv"/>
                <w:color w:val="000000"/>
              </w:rPr>
              <w:t>-</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5757C5" w:rsidP="00FB2701">
            <w:pPr>
              <w:autoSpaceDE w:val="0"/>
              <w:autoSpaceDN w:val="0"/>
              <w:adjustRightInd w:val="0"/>
              <w:spacing w:after="0" w:line="240" w:lineRule="auto"/>
              <w:jc w:val="right"/>
              <w:rPr>
                <w:rFonts w:cs="Helv"/>
                <w:color w:val="000000"/>
              </w:rPr>
            </w:pPr>
            <w:r>
              <w:rPr>
                <w:rFonts w:cs="Helv"/>
                <w:color w:val="000000"/>
              </w:rPr>
              <w:t>7</w:t>
            </w:r>
          </w:p>
        </w:tc>
      </w:tr>
      <w:tr w:rsidR="004E5AD2" w:rsidRPr="00FB2701" w:rsidTr="00900783">
        <w:tc>
          <w:tcPr>
            <w:tcW w:w="1985" w:type="dxa"/>
            <w:vMerge/>
            <w:tcBorders>
              <w:bottom w:val="single" w:sz="4" w:space="0" w:color="auto"/>
            </w:tcBorders>
          </w:tcPr>
          <w:p w:rsidR="004E5AD2" w:rsidRPr="00FB2701" w:rsidRDefault="004E5AD2">
            <w:pPr>
              <w:autoSpaceDE w:val="0"/>
              <w:autoSpaceDN w:val="0"/>
              <w:adjustRightInd w:val="0"/>
              <w:spacing w:after="0" w:line="240" w:lineRule="auto"/>
              <w:jc w:val="both"/>
              <w:rPr>
                <w:rFonts w:cs="Helv"/>
                <w:color w:val="000000"/>
              </w:rPr>
            </w:pPr>
          </w:p>
        </w:tc>
        <w:tc>
          <w:tcPr>
            <w:tcW w:w="2509" w:type="dxa"/>
            <w:tcBorders>
              <w:bottom w:val="single" w:sz="4" w:space="0" w:color="auto"/>
            </w:tcBorders>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Safety and Justice</w:t>
            </w:r>
          </w:p>
        </w:tc>
        <w:tc>
          <w:tcPr>
            <w:tcW w:w="1460" w:type="dxa"/>
            <w:tcBorders>
              <w:bottom w:val="single" w:sz="4" w:space="0" w:color="auto"/>
            </w:tcBorders>
          </w:tcPr>
          <w:p w:rsidR="004E5AD2" w:rsidRPr="00FB2701" w:rsidRDefault="005757C5" w:rsidP="00FB2701">
            <w:pPr>
              <w:autoSpaceDE w:val="0"/>
              <w:autoSpaceDN w:val="0"/>
              <w:adjustRightInd w:val="0"/>
              <w:spacing w:after="0" w:line="240" w:lineRule="auto"/>
              <w:jc w:val="right"/>
              <w:rPr>
                <w:rFonts w:cs="Helv"/>
                <w:color w:val="000000"/>
              </w:rPr>
            </w:pPr>
            <w:r>
              <w:rPr>
                <w:rFonts w:cs="Helv"/>
                <w:color w:val="000000"/>
              </w:rPr>
              <w:t>-</w:t>
            </w:r>
          </w:p>
        </w:tc>
        <w:tc>
          <w:tcPr>
            <w:tcW w:w="1288" w:type="dxa"/>
            <w:tcBorders>
              <w:bottom w:val="single" w:sz="4" w:space="0" w:color="auto"/>
            </w:tcBorders>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405" w:type="dxa"/>
            <w:tcBorders>
              <w:bottom w:val="single" w:sz="4" w:space="0" w:color="auto"/>
            </w:tcBorders>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Borders>
              <w:bottom w:val="single" w:sz="4" w:space="0" w:color="auto"/>
            </w:tcBorders>
          </w:tcPr>
          <w:p w:rsidR="004E5AD2" w:rsidRPr="00FB2701" w:rsidRDefault="005757C5" w:rsidP="00FB2701">
            <w:pPr>
              <w:autoSpaceDE w:val="0"/>
              <w:autoSpaceDN w:val="0"/>
              <w:adjustRightInd w:val="0"/>
              <w:spacing w:after="0" w:line="240" w:lineRule="auto"/>
              <w:jc w:val="right"/>
              <w:rPr>
                <w:rFonts w:cs="Helv"/>
                <w:color w:val="000000"/>
              </w:rPr>
            </w:pPr>
            <w:r>
              <w:rPr>
                <w:rFonts w:cs="Helv"/>
                <w:color w:val="000000"/>
              </w:rPr>
              <w:t>4</w:t>
            </w:r>
          </w:p>
        </w:tc>
      </w:tr>
      <w:tr w:rsidR="00FB2701" w:rsidRPr="00FB2701" w:rsidTr="00900783">
        <w:trPr>
          <w:trHeight w:val="267"/>
        </w:trPr>
        <w:tc>
          <w:tcPr>
            <w:tcW w:w="1985" w:type="dxa"/>
            <w:tcBorders>
              <w:top w:val="single" w:sz="4" w:space="0" w:color="auto"/>
              <w:bottom w:val="single" w:sz="4" w:space="0" w:color="auto"/>
            </w:tcBorders>
          </w:tcPr>
          <w:p w:rsidR="00FB2701" w:rsidRPr="00FB2701" w:rsidRDefault="00FB2701">
            <w:pPr>
              <w:autoSpaceDE w:val="0"/>
              <w:autoSpaceDN w:val="0"/>
              <w:adjustRightInd w:val="0"/>
              <w:spacing w:after="0" w:line="240" w:lineRule="auto"/>
              <w:jc w:val="both"/>
              <w:rPr>
                <w:rFonts w:cs="Helv"/>
                <w:color w:val="000000"/>
              </w:rPr>
            </w:pPr>
          </w:p>
        </w:tc>
        <w:tc>
          <w:tcPr>
            <w:tcW w:w="2509" w:type="dxa"/>
            <w:tcBorders>
              <w:top w:val="single" w:sz="4" w:space="0" w:color="auto"/>
              <w:bottom w:val="single" w:sz="4" w:space="0" w:color="auto"/>
            </w:tcBorders>
          </w:tcPr>
          <w:p w:rsidR="00FB2701" w:rsidRPr="00FB2701" w:rsidRDefault="00FB2701">
            <w:pPr>
              <w:autoSpaceDE w:val="0"/>
              <w:autoSpaceDN w:val="0"/>
              <w:adjustRightInd w:val="0"/>
              <w:spacing w:after="0" w:line="240" w:lineRule="auto"/>
              <w:jc w:val="both"/>
              <w:rPr>
                <w:rFonts w:cs="Helv"/>
                <w:b/>
                <w:bCs/>
                <w:color w:val="000000"/>
              </w:rPr>
            </w:pPr>
            <w:r w:rsidRPr="00FB2701">
              <w:rPr>
                <w:rFonts w:cs="Helv"/>
                <w:b/>
                <w:bCs/>
                <w:color w:val="000000"/>
              </w:rPr>
              <w:t>Total</w:t>
            </w:r>
          </w:p>
        </w:tc>
        <w:tc>
          <w:tcPr>
            <w:tcW w:w="1460" w:type="dxa"/>
            <w:tcBorders>
              <w:top w:val="single" w:sz="4" w:space="0" w:color="auto"/>
              <w:bottom w:val="single" w:sz="4" w:space="0" w:color="auto"/>
            </w:tcBorders>
          </w:tcPr>
          <w:p w:rsidR="00FB2701" w:rsidRPr="00FB2701" w:rsidRDefault="00E90797" w:rsidP="00FB2701">
            <w:pPr>
              <w:autoSpaceDE w:val="0"/>
              <w:autoSpaceDN w:val="0"/>
              <w:adjustRightInd w:val="0"/>
              <w:spacing w:after="0" w:line="240" w:lineRule="auto"/>
              <w:jc w:val="right"/>
              <w:rPr>
                <w:rFonts w:cs="Helv"/>
                <w:b/>
                <w:bCs/>
                <w:color w:val="000000"/>
              </w:rPr>
            </w:pPr>
            <w:r>
              <w:rPr>
                <w:rFonts w:cs="Helv"/>
                <w:b/>
                <w:bCs/>
                <w:color w:val="000000"/>
              </w:rPr>
              <w:t>8</w:t>
            </w:r>
          </w:p>
        </w:tc>
        <w:tc>
          <w:tcPr>
            <w:tcW w:w="1288" w:type="dxa"/>
            <w:tcBorders>
              <w:top w:val="single" w:sz="4" w:space="0" w:color="auto"/>
              <w:bottom w:val="single" w:sz="4" w:space="0" w:color="auto"/>
            </w:tcBorders>
          </w:tcPr>
          <w:p w:rsidR="00FB2701" w:rsidRPr="00FB2701" w:rsidRDefault="004E5AD2" w:rsidP="00FB2701">
            <w:pPr>
              <w:autoSpaceDE w:val="0"/>
              <w:autoSpaceDN w:val="0"/>
              <w:adjustRightInd w:val="0"/>
              <w:spacing w:after="0" w:line="240" w:lineRule="auto"/>
              <w:jc w:val="right"/>
              <w:rPr>
                <w:rFonts w:cs="Helv"/>
                <w:b/>
                <w:bCs/>
                <w:color w:val="000000"/>
              </w:rPr>
            </w:pPr>
            <w:r>
              <w:rPr>
                <w:rFonts w:cs="Helv"/>
                <w:b/>
                <w:bCs/>
                <w:color w:val="000000"/>
              </w:rPr>
              <w:t>2</w:t>
            </w:r>
            <w:r w:rsidR="00E90797">
              <w:rPr>
                <w:rFonts w:cs="Helv"/>
                <w:b/>
                <w:bCs/>
                <w:color w:val="000000"/>
              </w:rPr>
              <w:t>2</w:t>
            </w:r>
          </w:p>
        </w:tc>
        <w:tc>
          <w:tcPr>
            <w:tcW w:w="1405" w:type="dxa"/>
            <w:tcBorders>
              <w:top w:val="single" w:sz="4" w:space="0" w:color="auto"/>
              <w:bottom w:val="single" w:sz="4" w:space="0" w:color="auto"/>
            </w:tcBorders>
          </w:tcPr>
          <w:p w:rsidR="00FB2701" w:rsidRPr="00FB2701" w:rsidRDefault="000411A1" w:rsidP="00FB2701">
            <w:pPr>
              <w:autoSpaceDE w:val="0"/>
              <w:autoSpaceDN w:val="0"/>
              <w:adjustRightInd w:val="0"/>
              <w:spacing w:after="0" w:line="240" w:lineRule="auto"/>
              <w:jc w:val="right"/>
              <w:rPr>
                <w:rFonts w:cs="Helv"/>
                <w:b/>
                <w:bCs/>
                <w:color w:val="000000"/>
              </w:rPr>
            </w:pPr>
            <w:r>
              <w:rPr>
                <w:rFonts w:cs="Helv"/>
                <w:b/>
                <w:bCs/>
                <w:color w:val="000000"/>
              </w:rPr>
              <w:t>0</w:t>
            </w:r>
          </w:p>
        </w:tc>
        <w:tc>
          <w:tcPr>
            <w:tcW w:w="1359" w:type="dxa"/>
            <w:tcBorders>
              <w:top w:val="single" w:sz="4" w:space="0" w:color="auto"/>
              <w:bottom w:val="single" w:sz="4" w:space="0" w:color="auto"/>
            </w:tcBorders>
          </w:tcPr>
          <w:p w:rsidR="00FB2701" w:rsidRPr="00FB2701" w:rsidRDefault="000411A1" w:rsidP="00FB2701">
            <w:pPr>
              <w:autoSpaceDE w:val="0"/>
              <w:autoSpaceDN w:val="0"/>
              <w:adjustRightInd w:val="0"/>
              <w:spacing w:after="240" w:line="240" w:lineRule="auto"/>
              <w:jc w:val="right"/>
              <w:rPr>
                <w:rFonts w:cs="Helv"/>
                <w:b/>
                <w:bCs/>
                <w:color w:val="000000"/>
              </w:rPr>
            </w:pPr>
            <w:r>
              <w:rPr>
                <w:rFonts w:cs="Helv"/>
                <w:b/>
                <w:bCs/>
                <w:color w:val="000000"/>
              </w:rPr>
              <w:t>1</w:t>
            </w:r>
            <w:r w:rsidR="00E90797">
              <w:rPr>
                <w:rFonts w:cs="Helv"/>
                <w:b/>
                <w:bCs/>
                <w:color w:val="000000"/>
              </w:rPr>
              <w:t>6</w:t>
            </w:r>
          </w:p>
        </w:tc>
      </w:tr>
      <w:tr w:rsidR="004E5AD2" w:rsidRPr="00FB2701" w:rsidTr="00900783">
        <w:tc>
          <w:tcPr>
            <w:tcW w:w="10006" w:type="dxa"/>
            <w:gridSpan w:val="6"/>
            <w:tcBorders>
              <w:top w:val="single" w:sz="4" w:space="0" w:color="auto"/>
            </w:tcBorders>
          </w:tcPr>
          <w:p w:rsidR="004E5AD2" w:rsidRPr="00FB2701" w:rsidRDefault="004E5AD2" w:rsidP="004E5AD2">
            <w:pPr>
              <w:autoSpaceDE w:val="0"/>
              <w:autoSpaceDN w:val="0"/>
              <w:adjustRightInd w:val="0"/>
              <w:spacing w:after="0" w:line="240" w:lineRule="auto"/>
              <w:rPr>
                <w:rFonts w:cs="Helv"/>
                <w:color w:val="000000"/>
              </w:rPr>
            </w:pPr>
            <w:r w:rsidRPr="00FB2701">
              <w:rPr>
                <w:rFonts w:cs="Helv"/>
                <w:b/>
                <w:bCs/>
                <w:color w:val="000000"/>
              </w:rPr>
              <w:t xml:space="preserve">Culturally and Linguistically Diverse </w:t>
            </w:r>
            <w:r>
              <w:rPr>
                <w:rFonts w:cs="Helv"/>
                <w:b/>
                <w:bCs/>
                <w:color w:val="000000"/>
              </w:rPr>
              <w:t>People</w:t>
            </w:r>
          </w:p>
        </w:tc>
      </w:tr>
      <w:tr w:rsidR="004E5AD2" w:rsidRPr="00FB2701" w:rsidTr="00900783">
        <w:tc>
          <w:tcPr>
            <w:tcW w:w="1985" w:type="dxa"/>
            <w:vMerge w:val="restart"/>
          </w:tcPr>
          <w:p w:rsidR="004E5AD2" w:rsidRPr="00FB2701" w:rsidRDefault="004E5AD2" w:rsidP="004E5AD2">
            <w:pPr>
              <w:autoSpaceDE w:val="0"/>
              <w:autoSpaceDN w:val="0"/>
              <w:adjustRightInd w:val="0"/>
              <w:spacing w:after="0" w:line="240" w:lineRule="auto"/>
              <w:rPr>
                <w:rFonts w:cs="Helv"/>
                <w:b/>
                <w:bCs/>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Economic Security</w:t>
            </w:r>
          </w:p>
        </w:tc>
        <w:tc>
          <w:tcPr>
            <w:tcW w:w="1460" w:type="dxa"/>
          </w:tcPr>
          <w:p w:rsidR="004E5AD2" w:rsidRPr="00FB2701" w:rsidRDefault="003527F7" w:rsidP="009B6A93">
            <w:pPr>
              <w:autoSpaceDE w:val="0"/>
              <w:autoSpaceDN w:val="0"/>
              <w:adjustRightInd w:val="0"/>
              <w:spacing w:after="0" w:line="240" w:lineRule="auto"/>
              <w:jc w:val="right"/>
              <w:rPr>
                <w:rFonts w:cs="Helv"/>
                <w:color w:val="000000"/>
              </w:rPr>
            </w:pPr>
            <w:r>
              <w:rPr>
                <w:rFonts w:cs="Helv"/>
                <w:color w:val="000000"/>
              </w:rPr>
              <w:t>9</w:t>
            </w:r>
          </w:p>
        </w:tc>
        <w:tc>
          <w:tcPr>
            <w:tcW w:w="1288" w:type="dxa"/>
          </w:tcPr>
          <w:p w:rsidR="004E5AD2" w:rsidRPr="00FB2701" w:rsidRDefault="003527F7" w:rsidP="00FB2701">
            <w:pPr>
              <w:autoSpaceDE w:val="0"/>
              <w:autoSpaceDN w:val="0"/>
              <w:adjustRightInd w:val="0"/>
              <w:spacing w:after="0" w:line="240" w:lineRule="auto"/>
              <w:jc w:val="right"/>
              <w:rPr>
                <w:rFonts w:cs="Helv"/>
                <w:color w:val="000000"/>
              </w:rPr>
            </w:pPr>
            <w:r>
              <w:rPr>
                <w:rFonts w:cs="Helv"/>
                <w:color w:val="000000"/>
              </w:rPr>
              <w:t>2</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Education</w:t>
            </w:r>
          </w:p>
        </w:tc>
        <w:tc>
          <w:tcPr>
            <w:tcW w:w="1460" w:type="dxa"/>
          </w:tcPr>
          <w:p w:rsidR="004E5AD2" w:rsidRPr="00FB2701" w:rsidRDefault="00675F1D" w:rsidP="00FB2701">
            <w:pPr>
              <w:autoSpaceDE w:val="0"/>
              <w:autoSpaceDN w:val="0"/>
              <w:adjustRightInd w:val="0"/>
              <w:spacing w:after="0" w:line="240" w:lineRule="auto"/>
              <w:jc w:val="right"/>
              <w:rPr>
                <w:rFonts w:cs="Helv"/>
                <w:color w:val="000000"/>
              </w:rPr>
            </w:pPr>
            <w:r>
              <w:rPr>
                <w:rFonts w:cs="Helv"/>
                <w:color w:val="000000"/>
              </w:rPr>
              <w:t>7</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Health</w:t>
            </w:r>
          </w:p>
        </w:tc>
        <w:tc>
          <w:tcPr>
            <w:tcW w:w="1460" w:type="dxa"/>
          </w:tcPr>
          <w:p w:rsidR="004E5AD2" w:rsidRPr="00FB2701" w:rsidRDefault="005D1A80" w:rsidP="00FB2701">
            <w:pPr>
              <w:autoSpaceDE w:val="0"/>
              <w:autoSpaceDN w:val="0"/>
              <w:adjustRightInd w:val="0"/>
              <w:spacing w:after="0" w:line="240" w:lineRule="auto"/>
              <w:jc w:val="right"/>
              <w:rPr>
                <w:rFonts w:cs="Helv"/>
                <w:color w:val="000000"/>
              </w:rPr>
            </w:pPr>
            <w:r>
              <w:rPr>
                <w:rFonts w:cs="Helv"/>
                <w:color w:val="000000"/>
              </w:rPr>
              <w:t>16</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405" w:type="dxa"/>
          </w:tcPr>
          <w:p w:rsidR="004E5AD2" w:rsidRPr="00FB2701" w:rsidRDefault="002D558F" w:rsidP="00FB2701">
            <w:pPr>
              <w:autoSpaceDE w:val="0"/>
              <w:autoSpaceDN w:val="0"/>
              <w:adjustRightInd w:val="0"/>
              <w:spacing w:after="0" w:line="240" w:lineRule="auto"/>
              <w:jc w:val="right"/>
              <w:rPr>
                <w:rFonts w:cs="Helv"/>
                <w:color w:val="000000"/>
              </w:rPr>
            </w:pPr>
            <w:r>
              <w:rPr>
                <w:rFonts w:cs="Helv"/>
                <w:color w:val="000000"/>
              </w:rPr>
              <w:t>-</w:t>
            </w:r>
          </w:p>
        </w:tc>
        <w:tc>
          <w:tcPr>
            <w:tcW w:w="1359" w:type="dxa"/>
          </w:tcPr>
          <w:p w:rsidR="004E5AD2" w:rsidRPr="00FB2701" w:rsidRDefault="005D1A80" w:rsidP="00FB2701">
            <w:pPr>
              <w:autoSpaceDE w:val="0"/>
              <w:autoSpaceDN w:val="0"/>
              <w:adjustRightInd w:val="0"/>
              <w:spacing w:after="0" w:line="240" w:lineRule="auto"/>
              <w:jc w:val="right"/>
              <w:rPr>
                <w:rFonts w:cs="Helv"/>
                <w:color w:val="000000"/>
              </w:rPr>
            </w:pPr>
            <w:r>
              <w:rPr>
                <w:rFonts w:cs="Helv"/>
                <w:color w:val="000000"/>
              </w:rPr>
              <w:t>1</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Work and Family</w:t>
            </w:r>
          </w:p>
        </w:tc>
        <w:tc>
          <w:tcPr>
            <w:tcW w:w="1460" w:type="dxa"/>
          </w:tcPr>
          <w:p w:rsidR="004E5AD2" w:rsidRPr="00FB2701" w:rsidRDefault="005D1A80" w:rsidP="00FB2701">
            <w:pPr>
              <w:autoSpaceDE w:val="0"/>
              <w:autoSpaceDN w:val="0"/>
              <w:adjustRightInd w:val="0"/>
              <w:spacing w:after="0" w:line="240" w:lineRule="auto"/>
              <w:jc w:val="right"/>
              <w:rPr>
                <w:rFonts w:cs="Helv"/>
                <w:color w:val="000000"/>
              </w:rPr>
            </w:pPr>
            <w:r>
              <w:rPr>
                <w:rFonts w:cs="Helv"/>
                <w:color w:val="000000"/>
              </w:rPr>
              <w:t>7</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Safety and Justice</w:t>
            </w:r>
          </w:p>
        </w:tc>
        <w:tc>
          <w:tcPr>
            <w:tcW w:w="1460" w:type="dxa"/>
          </w:tcPr>
          <w:p w:rsidR="004E5AD2" w:rsidRPr="00FB2701" w:rsidRDefault="005D1A80" w:rsidP="00FB2701">
            <w:pPr>
              <w:autoSpaceDE w:val="0"/>
              <w:autoSpaceDN w:val="0"/>
              <w:adjustRightInd w:val="0"/>
              <w:spacing w:after="0" w:line="240" w:lineRule="auto"/>
              <w:jc w:val="right"/>
              <w:rPr>
                <w:rFonts w:cs="Helv"/>
                <w:color w:val="000000"/>
              </w:rPr>
            </w:pPr>
            <w:r>
              <w:rPr>
                <w:rFonts w:cs="Helv"/>
                <w:color w:val="000000"/>
              </w:rPr>
              <w:t>3</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405" w:type="dxa"/>
          </w:tcPr>
          <w:p w:rsidR="004E5AD2" w:rsidRPr="00FB2701" w:rsidRDefault="005D1A80" w:rsidP="00FB2701">
            <w:pPr>
              <w:autoSpaceDE w:val="0"/>
              <w:autoSpaceDN w:val="0"/>
              <w:adjustRightInd w:val="0"/>
              <w:spacing w:after="0" w:line="240" w:lineRule="auto"/>
              <w:jc w:val="right"/>
              <w:rPr>
                <w:rFonts w:cs="Helv"/>
                <w:color w:val="000000"/>
              </w:rPr>
            </w:pPr>
            <w:r>
              <w:rPr>
                <w:rFonts w:cs="Helv"/>
                <w:color w:val="000000"/>
              </w:rPr>
              <w:t>0</w:t>
            </w:r>
          </w:p>
        </w:tc>
        <w:tc>
          <w:tcPr>
            <w:tcW w:w="1359"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1</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b/>
                <w:bCs/>
                <w:color w:val="000000"/>
              </w:rPr>
            </w:pPr>
            <w:r w:rsidRPr="00FB2701">
              <w:rPr>
                <w:rFonts w:cs="Helv"/>
                <w:b/>
                <w:bCs/>
                <w:color w:val="000000"/>
              </w:rPr>
              <w:t>Total</w:t>
            </w:r>
          </w:p>
        </w:tc>
        <w:tc>
          <w:tcPr>
            <w:tcW w:w="1460" w:type="dxa"/>
          </w:tcPr>
          <w:p w:rsidR="004E5AD2" w:rsidRPr="00FB2701" w:rsidRDefault="007A4B78" w:rsidP="00866AF5">
            <w:pPr>
              <w:autoSpaceDE w:val="0"/>
              <w:autoSpaceDN w:val="0"/>
              <w:adjustRightInd w:val="0"/>
              <w:spacing w:after="0" w:line="240" w:lineRule="auto"/>
              <w:jc w:val="right"/>
              <w:rPr>
                <w:rFonts w:cs="Helv"/>
                <w:b/>
                <w:bCs/>
                <w:color w:val="000000"/>
              </w:rPr>
            </w:pPr>
            <w:r>
              <w:rPr>
                <w:rFonts w:cs="Helv"/>
                <w:b/>
                <w:bCs/>
                <w:color w:val="000000"/>
              </w:rPr>
              <w:t>42</w:t>
            </w:r>
          </w:p>
        </w:tc>
        <w:tc>
          <w:tcPr>
            <w:tcW w:w="1288" w:type="dxa"/>
          </w:tcPr>
          <w:p w:rsidR="004E5AD2" w:rsidRPr="00FB2701" w:rsidRDefault="000411A1" w:rsidP="00FB2701">
            <w:pPr>
              <w:autoSpaceDE w:val="0"/>
              <w:autoSpaceDN w:val="0"/>
              <w:adjustRightInd w:val="0"/>
              <w:spacing w:after="0" w:line="240" w:lineRule="auto"/>
              <w:jc w:val="right"/>
              <w:rPr>
                <w:rFonts w:cs="Helv"/>
                <w:b/>
                <w:bCs/>
                <w:color w:val="000000"/>
              </w:rPr>
            </w:pPr>
            <w:r>
              <w:rPr>
                <w:rFonts w:cs="Helv"/>
                <w:b/>
                <w:bCs/>
                <w:color w:val="000000"/>
              </w:rPr>
              <w:t>2</w:t>
            </w:r>
          </w:p>
        </w:tc>
        <w:tc>
          <w:tcPr>
            <w:tcW w:w="1405" w:type="dxa"/>
          </w:tcPr>
          <w:p w:rsidR="004E5AD2" w:rsidRPr="00FB2701" w:rsidRDefault="005D1A80" w:rsidP="00FB2701">
            <w:pPr>
              <w:autoSpaceDE w:val="0"/>
              <w:autoSpaceDN w:val="0"/>
              <w:adjustRightInd w:val="0"/>
              <w:spacing w:after="0" w:line="240" w:lineRule="auto"/>
              <w:jc w:val="right"/>
              <w:rPr>
                <w:rFonts w:cs="Helv"/>
                <w:b/>
                <w:bCs/>
                <w:color w:val="000000"/>
              </w:rPr>
            </w:pPr>
            <w:r>
              <w:rPr>
                <w:rFonts w:cs="Helv"/>
                <w:b/>
                <w:bCs/>
                <w:color w:val="000000"/>
              </w:rPr>
              <w:t>0</w:t>
            </w:r>
          </w:p>
        </w:tc>
        <w:tc>
          <w:tcPr>
            <w:tcW w:w="1359" w:type="dxa"/>
          </w:tcPr>
          <w:p w:rsidR="004E5AD2" w:rsidRPr="00FB2701" w:rsidRDefault="005D1A80" w:rsidP="00FB2701">
            <w:pPr>
              <w:autoSpaceDE w:val="0"/>
              <w:autoSpaceDN w:val="0"/>
              <w:adjustRightInd w:val="0"/>
              <w:spacing w:after="0" w:line="240" w:lineRule="auto"/>
              <w:jc w:val="right"/>
              <w:rPr>
                <w:rFonts w:cs="Helv"/>
                <w:b/>
                <w:bCs/>
                <w:color w:val="000000"/>
              </w:rPr>
            </w:pPr>
            <w:r>
              <w:rPr>
                <w:rFonts w:cs="Helv"/>
                <w:b/>
                <w:bCs/>
                <w:color w:val="000000"/>
              </w:rPr>
              <w:t>2</w:t>
            </w:r>
          </w:p>
        </w:tc>
      </w:tr>
      <w:tr w:rsidR="00FB2701" w:rsidRPr="00FB2701" w:rsidTr="00900783">
        <w:tc>
          <w:tcPr>
            <w:tcW w:w="1985" w:type="dxa"/>
          </w:tcPr>
          <w:p w:rsidR="00FB2701" w:rsidRPr="00FB2701" w:rsidRDefault="00FB2701">
            <w:pPr>
              <w:autoSpaceDE w:val="0"/>
              <w:autoSpaceDN w:val="0"/>
              <w:adjustRightInd w:val="0"/>
              <w:spacing w:after="0" w:line="240" w:lineRule="auto"/>
              <w:jc w:val="both"/>
              <w:rPr>
                <w:rFonts w:cs="Helv"/>
                <w:b/>
                <w:bCs/>
                <w:color w:val="000000"/>
              </w:rPr>
            </w:pPr>
          </w:p>
        </w:tc>
        <w:tc>
          <w:tcPr>
            <w:tcW w:w="2509" w:type="dxa"/>
          </w:tcPr>
          <w:p w:rsidR="00FB2701" w:rsidRPr="00FB2701" w:rsidRDefault="00FB2701">
            <w:pPr>
              <w:autoSpaceDE w:val="0"/>
              <w:autoSpaceDN w:val="0"/>
              <w:adjustRightInd w:val="0"/>
              <w:spacing w:after="0" w:line="240" w:lineRule="auto"/>
              <w:jc w:val="both"/>
              <w:rPr>
                <w:rFonts w:cs="Helv"/>
                <w:b/>
                <w:bCs/>
                <w:color w:val="000000"/>
              </w:rPr>
            </w:pPr>
          </w:p>
        </w:tc>
        <w:tc>
          <w:tcPr>
            <w:tcW w:w="1460" w:type="dxa"/>
          </w:tcPr>
          <w:p w:rsidR="00FB2701" w:rsidRPr="00FB2701" w:rsidRDefault="00FB2701" w:rsidP="00FB2701">
            <w:pPr>
              <w:autoSpaceDE w:val="0"/>
              <w:autoSpaceDN w:val="0"/>
              <w:adjustRightInd w:val="0"/>
              <w:spacing w:after="0" w:line="240" w:lineRule="auto"/>
              <w:jc w:val="right"/>
              <w:rPr>
                <w:rFonts w:cs="Helv"/>
                <w:b/>
                <w:bCs/>
                <w:color w:val="000000"/>
              </w:rPr>
            </w:pPr>
          </w:p>
        </w:tc>
        <w:tc>
          <w:tcPr>
            <w:tcW w:w="1288" w:type="dxa"/>
          </w:tcPr>
          <w:p w:rsidR="00FB2701" w:rsidRPr="00FB2701" w:rsidRDefault="00FB2701" w:rsidP="00FB2701">
            <w:pPr>
              <w:autoSpaceDE w:val="0"/>
              <w:autoSpaceDN w:val="0"/>
              <w:adjustRightInd w:val="0"/>
              <w:spacing w:after="0" w:line="240" w:lineRule="auto"/>
              <w:jc w:val="right"/>
              <w:rPr>
                <w:rFonts w:cs="Helv"/>
                <w:b/>
                <w:bCs/>
                <w:color w:val="000000"/>
              </w:rPr>
            </w:pPr>
          </w:p>
        </w:tc>
        <w:tc>
          <w:tcPr>
            <w:tcW w:w="1405" w:type="dxa"/>
          </w:tcPr>
          <w:p w:rsidR="00FB2701" w:rsidRPr="00FB2701" w:rsidRDefault="00FB2701" w:rsidP="00FB2701">
            <w:pPr>
              <w:autoSpaceDE w:val="0"/>
              <w:autoSpaceDN w:val="0"/>
              <w:adjustRightInd w:val="0"/>
              <w:spacing w:after="0" w:line="240" w:lineRule="auto"/>
              <w:jc w:val="right"/>
              <w:rPr>
                <w:rFonts w:cs="Helv"/>
                <w:b/>
                <w:bCs/>
                <w:color w:val="000000"/>
              </w:rPr>
            </w:pPr>
          </w:p>
        </w:tc>
        <w:tc>
          <w:tcPr>
            <w:tcW w:w="1359" w:type="dxa"/>
          </w:tcPr>
          <w:p w:rsidR="00FB2701" w:rsidRPr="00FB2701" w:rsidRDefault="00FB2701" w:rsidP="00FB2701">
            <w:pPr>
              <w:autoSpaceDE w:val="0"/>
              <w:autoSpaceDN w:val="0"/>
              <w:adjustRightInd w:val="0"/>
              <w:spacing w:after="240" w:line="240" w:lineRule="auto"/>
              <w:jc w:val="right"/>
              <w:rPr>
                <w:rFonts w:cs="Helv"/>
                <w:b/>
                <w:bCs/>
                <w:color w:val="000000"/>
              </w:rPr>
            </w:pPr>
          </w:p>
        </w:tc>
      </w:tr>
      <w:tr w:rsidR="004E5AD2" w:rsidRPr="00FB2701" w:rsidTr="00900783">
        <w:tc>
          <w:tcPr>
            <w:tcW w:w="10006" w:type="dxa"/>
            <w:gridSpan w:val="6"/>
          </w:tcPr>
          <w:p w:rsidR="004E5AD2" w:rsidRPr="00FB2701" w:rsidRDefault="004E5AD2" w:rsidP="004E5AD2">
            <w:pPr>
              <w:autoSpaceDE w:val="0"/>
              <w:autoSpaceDN w:val="0"/>
              <w:adjustRightInd w:val="0"/>
              <w:spacing w:after="0" w:line="240" w:lineRule="auto"/>
              <w:rPr>
                <w:rFonts w:cs="Helv"/>
                <w:color w:val="000000"/>
              </w:rPr>
            </w:pPr>
            <w:r>
              <w:rPr>
                <w:rFonts w:cs="Helv"/>
                <w:b/>
                <w:bCs/>
                <w:color w:val="000000"/>
              </w:rPr>
              <w:t xml:space="preserve">People with a </w:t>
            </w:r>
            <w:r w:rsidRPr="00FB2701">
              <w:rPr>
                <w:rFonts w:cs="Helv"/>
                <w:b/>
                <w:bCs/>
                <w:color w:val="000000"/>
              </w:rPr>
              <w:t>Disability</w:t>
            </w:r>
          </w:p>
        </w:tc>
      </w:tr>
      <w:tr w:rsidR="004E5AD2" w:rsidRPr="00FB2701" w:rsidTr="00900783">
        <w:tc>
          <w:tcPr>
            <w:tcW w:w="1985" w:type="dxa"/>
            <w:vMerge w:val="restart"/>
          </w:tcPr>
          <w:p w:rsidR="004E5AD2" w:rsidRPr="00FB2701" w:rsidRDefault="004E5AD2" w:rsidP="004E5AD2">
            <w:pPr>
              <w:autoSpaceDE w:val="0"/>
              <w:autoSpaceDN w:val="0"/>
              <w:adjustRightInd w:val="0"/>
              <w:spacing w:after="0" w:line="240" w:lineRule="auto"/>
              <w:rPr>
                <w:rFonts w:cs="Helv"/>
                <w:b/>
                <w:bCs/>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Economic Security</w:t>
            </w:r>
          </w:p>
        </w:tc>
        <w:tc>
          <w:tcPr>
            <w:tcW w:w="1460"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288" w:type="dxa"/>
          </w:tcPr>
          <w:p w:rsidR="004E5AD2" w:rsidRPr="00FB2701" w:rsidRDefault="00B435CB" w:rsidP="00B435CB">
            <w:pPr>
              <w:autoSpaceDE w:val="0"/>
              <w:autoSpaceDN w:val="0"/>
              <w:adjustRightInd w:val="0"/>
              <w:spacing w:after="0" w:line="240" w:lineRule="auto"/>
              <w:jc w:val="right"/>
              <w:rPr>
                <w:rFonts w:cs="Helv"/>
                <w:color w:val="000000"/>
              </w:rPr>
            </w:pPr>
            <w:r>
              <w:rPr>
                <w:rFonts w:cs="Helv"/>
                <w:color w:val="000000"/>
              </w:rPr>
              <w:t>9</w:t>
            </w:r>
          </w:p>
        </w:tc>
        <w:tc>
          <w:tcPr>
            <w:tcW w:w="1405" w:type="dxa"/>
          </w:tcPr>
          <w:p w:rsidR="004E5AD2" w:rsidRPr="00FB2701" w:rsidRDefault="00B435CB" w:rsidP="00FB2701">
            <w:pPr>
              <w:autoSpaceDE w:val="0"/>
              <w:autoSpaceDN w:val="0"/>
              <w:adjustRightInd w:val="0"/>
              <w:spacing w:after="0" w:line="240" w:lineRule="auto"/>
              <w:jc w:val="right"/>
              <w:rPr>
                <w:rFonts w:cs="Helv"/>
                <w:color w:val="000000"/>
              </w:rPr>
            </w:pPr>
            <w:r>
              <w:rPr>
                <w:rFonts w:cs="Helv"/>
                <w:color w:val="000000"/>
              </w:rPr>
              <w:t>1</w:t>
            </w:r>
          </w:p>
        </w:tc>
        <w:tc>
          <w:tcPr>
            <w:tcW w:w="1359" w:type="dxa"/>
          </w:tcPr>
          <w:p w:rsidR="004E5AD2" w:rsidRPr="00FB2701" w:rsidRDefault="00B435CB" w:rsidP="00FB2701">
            <w:pPr>
              <w:autoSpaceDE w:val="0"/>
              <w:autoSpaceDN w:val="0"/>
              <w:adjustRightInd w:val="0"/>
              <w:spacing w:after="0" w:line="240" w:lineRule="auto"/>
              <w:jc w:val="right"/>
              <w:rPr>
                <w:rFonts w:cs="Helv"/>
                <w:color w:val="000000"/>
              </w:rPr>
            </w:pPr>
            <w:r>
              <w:rPr>
                <w:rFonts w:cs="Helv"/>
                <w:color w:val="000000"/>
              </w:rPr>
              <w:t>1</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Education</w:t>
            </w:r>
          </w:p>
        </w:tc>
        <w:tc>
          <w:tcPr>
            <w:tcW w:w="1460"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288" w:type="dxa"/>
          </w:tcPr>
          <w:p w:rsidR="004E5AD2" w:rsidRPr="00FB2701" w:rsidRDefault="00675F1D" w:rsidP="00FB2701">
            <w:pPr>
              <w:autoSpaceDE w:val="0"/>
              <w:autoSpaceDN w:val="0"/>
              <w:adjustRightInd w:val="0"/>
              <w:spacing w:after="0" w:line="240" w:lineRule="auto"/>
              <w:jc w:val="right"/>
              <w:rPr>
                <w:rFonts w:cs="Helv"/>
                <w:color w:val="000000"/>
              </w:rPr>
            </w:pPr>
            <w:r>
              <w:rPr>
                <w:rFonts w:cs="Helv"/>
                <w:color w:val="000000"/>
              </w:rPr>
              <w:t>5</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2</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Health</w:t>
            </w:r>
          </w:p>
        </w:tc>
        <w:tc>
          <w:tcPr>
            <w:tcW w:w="1460" w:type="dxa"/>
          </w:tcPr>
          <w:p w:rsidR="004E5AD2" w:rsidRPr="00FB2701" w:rsidRDefault="003647F2" w:rsidP="00FB2701">
            <w:pPr>
              <w:autoSpaceDE w:val="0"/>
              <w:autoSpaceDN w:val="0"/>
              <w:adjustRightInd w:val="0"/>
              <w:spacing w:after="0" w:line="240" w:lineRule="auto"/>
              <w:jc w:val="right"/>
              <w:rPr>
                <w:rFonts w:cs="Helv"/>
                <w:color w:val="000000"/>
              </w:rPr>
            </w:pPr>
            <w:r>
              <w:rPr>
                <w:rFonts w:cs="Helv"/>
                <w:color w:val="000000"/>
              </w:rPr>
              <w:t>4</w:t>
            </w:r>
          </w:p>
        </w:tc>
        <w:tc>
          <w:tcPr>
            <w:tcW w:w="1288" w:type="dxa"/>
          </w:tcPr>
          <w:p w:rsidR="004E5AD2" w:rsidRPr="00FB2701" w:rsidRDefault="003647F2" w:rsidP="00FB2701">
            <w:pPr>
              <w:autoSpaceDE w:val="0"/>
              <w:autoSpaceDN w:val="0"/>
              <w:adjustRightInd w:val="0"/>
              <w:spacing w:after="0" w:line="240" w:lineRule="auto"/>
              <w:jc w:val="right"/>
              <w:rPr>
                <w:rFonts w:cs="Helv"/>
                <w:color w:val="000000"/>
              </w:rPr>
            </w:pPr>
            <w:r>
              <w:rPr>
                <w:rFonts w:cs="Helv"/>
                <w:color w:val="000000"/>
              </w:rPr>
              <w:t>3</w:t>
            </w:r>
          </w:p>
        </w:tc>
        <w:tc>
          <w:tcPr>
            <w:tcW w:w="1405" w:type="dxa"/>
          </w:tcPr>
          <w:p w:rsidR="004E5AD2" w:rsidRPr="00FB2701" w:rsidRDefault="00643AA7" w:rsidP="00FB2701">
            <w:pPr>
              <w:autoSpaceDE w:val="0"/>
              <w:autoSpaceDN w:val="0"/>
              <w:adjustRightInd w:val="0"/>
              <w:spacing w:after="0" w:line="240" w:lineRule="auto"/>
              <w:jc w:val="right"/>
              <w:rPr>
                <w:rFonts w:cs="Helv"/>
                <w:color w:val="000000"/>
              </w:rPr>
            </w:pPr>
            <w:r>
              <w:rPr>
                <w:rFonts w:cs="Helv"/>
                <w:color w:val="000000"/>
              </w:rPr>
              <w:t>-</w:t>
            </w:r>
          </w:p>
        </w:tc>
        <w:tc>
          <w:tcPr>
            <w:tcW w:w="1359" w:type="dxa"/>
          </w:tcPr>
          <w:p w:rsidR="004E5AD2" w:rsidRPr="00FB2701" w:rsidRDefault="003647F2" w:rsidP="00FB2701">
            <w:pPr>
              <w:autoSpaceDE w:val="0"/>
              <w:autoSpaceDN w:val="0"/>
              <w:adjustRightInd w:val="0"/>
              <w:spacing w:after="0" w:line="240" w:lineRule="auto"/>
              <w:jc w:val="right"/>
              <w:rPr>
                <w:rFonts w:cs="Helv"/>
                <w:color w:val="000000"/>
              </w:rPr>
            </w:pPr>
            <w:r>
              <w:rPr>
                <w:rFonts w:cs="Helv"/>
                <w:color w:val="000000"/>
              </w:rPr>
              <w:t>10</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Work and Family</w:t>
            </w:r>
          </w:p>
        </w:tc>
        <w:tc>
          <w:tcPr>
            <w:tcW w:w="1460" w:type="dxa"/>
          </w:tcPr>
          <w:p w:rsidR="004E5AD2" w:rsidRPr="00FB2701" w:rsidRDefault="005A396F" w:rsidP="00FB2701">
            <w:pPr>
              <w:autoSpaceDE w:val="0"/>
              <w:autoSpaceDN w:val="0"/>
              <w:adjustRightInd w:val="0"/>
              <w:spacing w:after="0" w:line="240" w:lineRule="auto"/>
              <w:jc w:val="right"/>
              <w:rPr>
                <w:rFonts w:cs="Helv"/>
                <w:color w:val="000000"/>
              </w:rPr>
            </w:pPr>
            <w:r>
              <w:rPr>
                <w:rFonts w:cs="Helv"/>
                <w:color w:val="000000"/>
              </w:rPr>
              <w:t>4</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1</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5A396F" w:rsidP="00FB2701">
            <w:pPr>
              <w:autoSpaceDE w:val="0"/>
              <w:autoSpaceDN w:val="0"/>
              <w:adjustRightInd w:val="0"/>
              <w:spacing w:after="0" w:line="240" w:lineRule="auto"/>
              <w:jc w:val="right"/>
              <w:rPr>
                <w:rFonts w:cs="Helv"/>
                <w:color w:val="000000"/>
              </w:rPr>
            </w:pPr>
            <w:r>
              <w:rPr>
                <w:rFonts w:cs="Helv"/>
                <w:color w:val="000000"/>
              </w:rPr>
              <w:t>2</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color w:val="000000"/>
              </w:rPr>
            </w:pPr>
            <w:r w:rsidRPr="00FB2701">
              <w:rPr>
                <w:rFonts w:cs="Helv"/>
                <w:color w:val="000000"/>
              </w:rPr>
              <w:t>Safety and Justice</w:t>
            </w:r>
          </w:p>
        </w:tc>
        <w:tc>
          <w:tcPr>
            <w:tcW w:w="1460"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1</w:t>
            </w:r>
          </w:p>
        </w:tc>
        <w:tc>
          <w:tcPr>
            <w:tcW w:w="1288"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1</w:t>
            </w:r>
          </w:p>
        </w:tc>
        <w:tc>
          <w:tcPr>
            <w:tcW w:w="1405"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w:t>
            </w:r>
          </w:p>
        </w:tc>
        <w:tc>
          <w:tcPr>
            <w:tcW w:w="1359" w:type="dxa"/>
          </w:tcPr>
          <w:p w:rsidR="004E5AD2" w:rsidRPr="00FB2701" w:rsidRDefault="004E5AD2" w:rsidP="00FB2701">
            <w:pPr>
              <w:autoSpaceDE w:val="0"/>
              <w:autoSpaceDN w:val="0"/>
              <w:adjustRightInd w:val="0"/>
              <w:spacing w:after="0" w:line="240" w:lineRule="auto"/>
              <w:jc w:val="right"/>
              <w:rPr>
                <w:rFonts w:cs="Helv"/>
                <w:color w:val="000000"/>
              </w:rPr>
            </w:pPr>
            <w:r w:rsidRPr="00FB2701">
              <w:rPr>
                <w:rFonts w:cs="Helv"/>
                <w:color w:val="000000"/>
              </w:rPr>
              <w:t>2</w:t>
            </w:r>
          </w:p>
        </w:tc>
      </w:tr>
      <w:tr w:rsidR="004E5AD2" w:rsidRPr="00FB2701" w:rsidTr="00900783">
        <w:tc>
          <w:tcPr>
            <w:tcW w:w="1985" w:type="dxa"/>
            <w:vMerge/>
          </w:tcPr>
          <w:p w:rsidR="004E5AD2" w:rsidRPr="00FB2701" w:rsidRDefault="004E5AD2">
            <w:pPr>
              <w:autoSpaceDE w:val="0"/>
              <w:autoSpaceDN w:val="0"/>
              <w:adjustRightInd w:val="0"/>
              <w:spacing w:after="0" w:line="240" w:lineRule="auto"/>
              <w:jc w:val="both"/>
              <w:rPr>
                <w:rFonts w:cs="Helv"/>
                <w:color w:val="000000"/>
              </w:rPr>
            </w:pPr>
          </w:p>
        </w:tc>
        <w:tc>
          <w:tcPr>
            <w:tcW w:w="2509" w:type="dxa"/>
          </w:tcPr>
          <w:p w:rsidR="004E5AD2" w:rsidRPr="00FB2701" w:rsidRDefault="004E5AD2">
            <w:pPr>
              <w:autoSpaceDE w:val="0"/>
              <w:autoSpaceDN w:val="0"/>
              <w:adjustRightInd w:val="0"/>
              <w:spacing w:after="0" w:line="240" w:lineRule="auto"/>
              <w:jc w:val="both"/>
              <w:rPr>
                <w:rFonts w:cs="Helv"/>
                <w:b/>
                <w:bCs/>
                <w:color w:val="000000"/>
              </w:rPr>
            </w:pPr>
            <w:r w:rsidRPr="00FB2701">
              <w:rPr>
                <w:rFonts w:cs="Helv"/>
                <w:b/>
                <w:bCs/>
                <w:color w:val="000000"/>
              </w:rPr>
              <w:t>Total</w:t>
            </w:r>
          </w:p>
        </w:tc>
        <w:tc>
          <w:tcPr>
            <w:tcW w:w="1460" w:type="dxa"/>
          </w:tcPr>
          <w:p w:rsidR="004E5AD2" w:rsidRPr="00FB2701" w:rsidRDefault="0045122D" w:rsidP="00FB2701">
            <w:pPr>
              <w:autoSpaceDE w:val="0"/>
              <w:autoSpaceDN w:val="0"/>
              <w:adjustRightInd w:val="0"/>
              <w:spacing w:after="0" w:line="240" w:lineRule="auto"/>
              <w:jc w:val="right"/>
              <w:rPr>
                <w:rFonts w:cs="Helv"/>
                <w:b/>
                <w:bCs/>
                <w:color w:val="000000"/>
              </w:rPr>
            </w:pPr>
            <w:r>
              <w:rPr>
                <w:rFonts w:cs="Helv"/>
                <w:b/>
                <w:bCs/>
                <w:color w:val="000000"/>
              </w:rPr>
              <w:t>9</w:t>
            </w:r>
          </w:p>
        </w:tc>
        <w:tc>
          <w:tcPr>
            <w:tcW w:w="1288" w:type="dxa"/>
          </w:tcPr>
          <w:p w:rsidR="004E5AD2" w:rsidRPr="00FB2701" w:rsidRDefault="0045122D" w:rsidP="00FB2701">
            <w:pPr>
              <w:autoSpaceDE w:val="0"/>
              <w:autoSpaceDN w:val="0"/>
              <w:adjustRightInd w:val="0"/>
              <w:spacing w:after="0" w:line="240" w:lineRule="auto"/>
              <w:jc w:val="right"/>
              <w:rPr>
                <w:rFonts w:cs="Helv"/>
                <w:b/>
                <w:bCs/>
                <w:color w:val="000000"/>
              </w:rPr>
            </w:pPr>
            <w:r>
              <w:rPr>
                <w:rFonts w:cs="Helv"/>
                <w:b/>
                <w:bCs/>
                <w:color w:val="000000"/>
              </w:rPr>
              <w:t>19</w:t>
            </w:r>
          </w:p>
        </w:tc>
        <w:tc>
          <w:tcPr>
            <w:tcW w:w="1405" w:type="dxa"/>
          </w:tcPr>
          <w:p w:rsidR="004E5AD2" w:rsidRPr="00FB2701" w:rsidRDefault="0045122D" w:rsidP="00FB2701">
            <w:pPr>
              <w:autoSpaceDE w:val="0"/>
              <w:autoSpaceDN w:val="0"/>
              <w:adjustRightInd w:val="0"/>
              <w:spacing w:after="0" w:line="240" w:lineRule="auto"/>
              <w:jc w:val="right"/>
              <w:rPr>
                <w:rFonts w:cs="Helv"/>
                <w:b/>
                <w:bCs/>
                <w:color w:val="000000"/>
              </w:rPr>
            </w:pPr>
            <w:r>
              <w:rPr>
                <w:rFonts w:cs="Helv"/>
                <w:b/>
                <w:bCs/>
                <w:color w:val="000000"/>
              </w:rPr>
              <w:t>1</w:t>
            </w:r>
          </w:p>
        </w:tc>
        <w:tc>
          <w:tcPr>
            <w:tcW w:w="1359" w:type="dxa"/>
          </w:tcPr>
          <w:p w:rsidR="004E5AD2" w:rsidRPr="00FB2701" w:rsidRDefault="0045122D" w:rsidP="00FB2701">
            <w:pPr>
              <w:autoSpaceDE w:val="0"/>
              <w:autoSpaceDN w:val="0"/>
              <w:adjustRightInd w:val="0"/>
              <w:spacing w:after="0" w:line="240" w:lineRule="auto"/>
              <w:jc w:val="right"/>
              <w:rPr>
                <w:rFonts w:cs="Helv"/>
                <w:b/>
                <w:bCs/>
                <w:color w:val="000000"/>
              </w:rPr>
            </w:pPr>
            <w:r>
              <w:rPr>
                <w:rFonts w:cs="Helv"/>
                <w:b/>
                <w:bCs/>
                <w:color w:val="000000"/>
              </w:rPr>
              <w:t>17</w:t>
            </w:r>
          </w:p>
        </w:tc>
      </w:tr>
      <w:tr w:rsidR="00FB2701" w:rsidRPr="00FB2701" w:rsidTr="00900783">
        <w:trPr>
          <w:trHeight w:val="239"/>
        </w:trPr>
        <w:tc>
          <w:tcPr>
            <w:tcW w:w="1985" w:type="dxa"/>
            <w:tcBorders>
              <w:bottom w:val="single" w:sz="4" w:space="0" w:color="auto"/>
            </w:tcBorders>
          </w:tcPr>
          <w:p w:rsidR="00FB2701" w:rsidRPr="00FB2701" w:rsidRDefault="00FB2701">
            <w:pPr>
              <w:autoSpaceDE w:val="0"/>
              <w:autoSpaceDN w:val="0"/>
              <w:adjustRightInd w:val="0"/>
              <w:spacing w:after="0" w:line="240" w:lineRule="auto"/>
              <w:jc w:val="both"/>
              <w:rPr>
                <w:rFonts w:cs="Helv"/>
                <w:b/>
                <w:bCs/>
                <w:color w:val="000000"/>
              </w:rPr>
            </w:pPr>
          </w:p>
        </w:tc>
        <w:tc>
          <w:tcPr>
            <w:tcW w:w="2509" w:type="dxa"/>
            <w:tcBorders>
              <w:bottom w:val="single" w:sz="4" w:space="0" w:color="auto"/>
            </w:tcBorders>
          </w:tcPr>
          <w:p w:rsidR="00FB2701" w:rsidRPr="00FB2701" w:rsidRDefault="00FB2701">
            <w:pPr>
              <w:autoSpaceDE w:val="0"/>
              <w:autoSpaceDN w:val="0"/>
              <w:adjustRightInd w:val="0"/>
              <w:spacing w:after="0" w:line="240" w:lineRule="auto"/>
              <w:jc w:val="both"/>
              <w:rPr>
                <w:rFonts w:cs="Helv"/>
                <w:b/>
                <w:bCs/>
                <w:color w:val="000000"/>
              </w:rPr>
            </w:pPr>
          </w:p>
        </w:tc>
        <w:tc>
          <w:tcPr>
            <w:tcW w:w="1460" w:type="dxa"/>
            <w:tcBorders>
              <w:bottom w:val="single" w:sz="4" w:space="0" w:color="auto"/>
            </w:tcBorders>
          </w:tcPr>
          <w:p w:rsidR="00FB2701" w:rsidRPr="00FB2701" w:rsidRDefault="00FB2701" w:rsidP="00FB2701">
            <w:pPr>
              <w:autoSpaceDE w:val="0"/>
              <w:autoSpaceDN w:val="0"/>
              <w:adjustRightInd w:val="0"/>
              <w:spacing w:after="0" w:line="240" w:lineRule="auto"/>
              <w:jc w:val="right"/>
              <w:rPr>
                <w:rFonts w:cs="Helv"/>
                <w:b/>
                <w:bCs/>
                <w:color w:val="000000"/>
              </w:rPr>
            </w:pPr>
          </w:p>
        </w:tc>
        <w:tc>
          <w:tcPr>
            <w:tcW w:w="1288" w:type="dxa"/>
            <w:tcBorders>
              <w:bottom w:val="single" w:sz="4" w:space="0" w:color="auto"/>
            </w:tcBorders>
          </w:tcPr>
          <w:p w:rsidR="00FB2701" w:rsidRPr="00FB2701" w:rsidRDefault="00FB2701" w:rsidP="00FB2701">
            <w:pPr>
              <w:autoSpaceDE w:val="0"/>
              <w:autoSpaceDN w:val="0"/>
              <w:adjustRightInd w:val="0"/>
              <w:spacing w:after="0" w:line="240" w:lineRule="auto"/>
              <w:jc w:val="right"/>
              <w:rPr>
                <w:rFonts w:cs="Helv"/>
                <w:b/>
                <w:bCs/>
                <w:color w:val="000000"/>
              </w:rPr>
            </w:pPr>
          </w:p>
        </w:tc>
        <w:tc>
          <w:tcPr>
            <w:tcW w:w="1405" w:type="dxa"/>
            <w:tcBorders>
              <w:bottom w:val="single" w:sz="4" w:space="0" w:color="auto"/>
            </w:tcBorders>
          </w:tcPr>
          <w:p w:rsidR="00FB2701" w:rsidRPr="00FB2701" w:rsidRDefault="00FB2701" w:rsidP="00FB2701">
            <w:pPr>
              <w:autoSpaceDE w:val="0"/>
              <w:autoSpaceDN w:val="0"/>
              <w:adjustRightInd w:val="0"/>
              <w:spacing w:after="0" w:line="240" w:lineRule="auto"/>
              <w:jc w:val="right"/>
              <w:rPr>
                <w:rFonts w:cs="Helv"/>
                <w:b/>
                <w:bCs/>
                <w:color w:val="000000"/>
              </w:rPr>
            </w:pPr>
          </w:p>
        </w:tc>
        <w:tc>
          <w:tcPr>
            <w:tcW w:w="1359" w:type="dxa"/>
            <w:tcBorders>
              <w:bottom w:val="single" w:sz="4" w:space="0" w:color="auto"/>
            </w:tcBorders>
          </w:tcPr>
          <w:p w:rsidR="00FB2701" w:rsidRPr="00FB2701" w:rsidRDefault="00FB2701" w:rsidP="00FB2701">
            <w:pPr>
              <w:autoSpaceDE w:val="0"/>
              <w:autoSpaceDN w:val="0"/>
              <w:adjustRightInd w:val="0"/>
              <w:spacing w:after="240" w:line="240" w:lineRule="auto"/>
              <w:jc w:val="right"/>
              <w:rPr>
                <w:rFonts w:cs="Helv"/>
                <w:b/>
                <w:bCs/>
                <w:color w:val="000000"/>
              </w:rPr>
            </w:pPr>
          </w:p>
        </w:tc>
      </w:tr>
      <w:tr w:rsidR="00FB2701" w:rsidRPr="00FB2701" w:rsidTr="00900783">
        <w:tc>
          <w:tcPr>
            <w:tcW w:w="1985" w:type="dxa"/>
            <w:tcBorders>
              <w:top w:val="single" w:sz="4" w:space="0" w:color="auto"/>
              <w:bottom w:val="single" w:sz="4" w:space="0" w:color="auto"/>
            </w:tcBorders>
          </w:tcPr>
          <w:p w:rsidR="00FB2701" w:rsidRPr="00FB2701" w:rsidRDefault="00FB2701">
            <w:pPr>
              <w:autoSpaceDE w:val="0"/>
              <w:autoSpaceDN w:val="0"/>
              <w:adjustRightInd w:val="0"/>
              <w:spacing w:after="0" w:line="240" w:lineRule="auto"/>
              <w:jc w:val="both"/>
              <w:rPr>
                <w:rFonts w:cs="Helv"/>
                <w:b/>
                <w:bCs/>
                <w:color w:val="000000"/>
              </w:rPr>
            </w:pPr>
            <w:r w:rsidRPr="00FB2701">
              <w:rPr>
                <w:rFonts w:cs="Helv"/>
                <w:b/>
                <w:bCs/>
                <w:color w:val="000000"/>
              </w:rPr>
              <w:t>Total</w:t>
            </w:r>
          </w:p>
        </w:tc>
        <w:tc>
          <w:tcPr>
            <w:tcW w:w="2509" w:type="dxa"/>
            <w:tcBorders>
              <w:top w:val="single" w:sz="4" w:space="0" w:color="auto"/>
              <w:bottom w:val="single" w:sz="4" w:space="0" w:color="auto"/>
            </w:tcBorders>
          </w:tcPr>
          <w:p w:rsidR="00FB2701" w:rsidRPr="00FB2701" w:rsidRDefault="00FB2701">
            <w:pPr>
              <w:autoSpaceDE w:val="0"/>
              <w:autoSpaceDN w:val="0"/>
              <w:adjustRightInd w:val="0"/>
              <w:spacing w:after="0" w:line="240" w:lineRule="auto"/>
              <w:jc w:val="both"/>
              <w:rPr>
                <w:rFonts w:cs="Helv"/>
                <w:b/>
                <w:bCs/>
                <w:color w:val="000000"/>
              </w:rPr>
            </w:pPr>
          </w:p>
        </w:tc>
        <w:tc>
          <w:tcPr>
            <w:tcW w:w="1460" w:type="dxa"/>
            <w:tcBorders>
              <w:top w:val="single" w:sz="4" w:space="0" w:color="auto"/>
              <w:bottom w:val="single" w:sz="4" w:space="0" w:color="auto"/>
            </w:tcBorders>
          </w:tcPr>
          <w:p w:rsidR="00FB2701" w:rsidRPr="00FB2701" w:rsidRDefault="0045122D" w:rsidP="00866AF5">
            <w:pPr>
              <w:autoSpaceDE w:val="0"/>
              <w:autoSpaceDN w:val="0"/>
              <w:adjustRightInd w:val="0"/>
              <w:spacing w:after="0" w:line="240" w:lineRule="auto"/>
              <w:jc w:val="right"/>
              <w:rPr>
                <w:rFonts w:cs="Helv"/>
                <w:b/>
                <w:bCs/>
                <w:color w:val="000000"/>
              </w:rPr>
            </w:pPr>
            <w:r>
              <w:rPr>
                <w:rFonts w:cs="Helv"/>
                <w:b/>
                <w:bCs/>
                <w:color w:val="000000"/>
              </w:rPr>
              <w:t>58</w:t>
            </w:r>
          </w:p>
        </w:tc>
        <w:tc>
          <w:tcPr>
            <w:tcW w:w="1288" w:type="dxa"/>
            <w:tcBorders>
              <w:top w:val="single" w:sz="4" w:space="0" w:color="auto"/>
              <w:bottom w:val="single" w:sz="4" w:space="0" w:color="auto"/>
            </w:tcBorders>
          </w:tcPr>
          <w:p w:rsidR="00FB2701" w:rsidRPr="00FB2701" w:rsidRDefault="00FB2701" w:rsidP="00866AF5">
            <w:pPr>
              <w:autoSpaceDE w:val="0"/>
              <w:autoSpaceDN w:val="0"/>
              <w:adjustRightInd w:val="0"/>
              <w:spacing w:after="0" w:line="240" w:lineRule="auto"/>
              <w:jc w:val="right"/>
              <w:rPr>
                <w:rFonts w:cs="Helv"/>
                <w:b/>
                <w:bCs/>
                <w:color w:val="000000"/>
              </w:rPr>
            </w:pPr>
            <w:r w:rsidRPr="00FB2701">
              <w:rPr>
                <w:rFonts w:cs="Helv"/>
                <w:b/>
                <w:bCs/>
                <w:color w:val="000000"/>
              </w:rPr>
              <w:t>4</w:t>
            </w:r>
            <w:r w:rsidR="0045122D">
              <w:rPr>
                <w:rFonts w:cs="Helv"/>
                <w:b/>
                <w:bCs/>
                <w:color w:val="000000"/>
              </w:rPr>
              <w:t>3</w:t>
            </w:r>
          </w:p>
        </w:tc>
        <w:tc>
          <w:tcPr>
            <w:tcW w:w="1405" w:type="dxa"/>
            <w:tcBorders>
              <w:top w:val="single" w:sz="4" w:space="0" w:color="auto"/>
              <w:bottom w:val="single" w:sz="4" w:space="0" w:color="auto"/>
            </w:tcBorders>
          </w:tcPr>
          <w:p w:rsidR="00FB2701" w:rsidRPr="00FB2701" w:rsidRDefault="004627D7" w:rsidP="00FB2701">
            <w:pPr>
              <w:autoSpaceDE w:val="0"/>
              <w:autoSpaceDN w:val="0"/>
              <w:adjustRightInd w:val="0"/>
              <w:spacing w:after="0" w:line="240" w:lineRule="auto"/>
              <w:jc w:val="right"/>
              <w:rPr>
                <w:rFonts w:cs="Helv"/>
                <w:b/>
                <w:bCs/>
                <w:color w:val="000000"/>
              </w:rPr>
            </w:pPr>
            <w:r>
              <w:rPr>
                <w:rFonts w:cs="Helv"/>
                <w:b/>
                <w:bCs/>
                <w:color w:val="000000"/>
              </w:rPr>
              <w:t>1</w:t>
            </w:r>
          </w:p>
        </w:tc>
        <w:tc>
          <w:tcPr>
            <w:tcW w:w="1359" w:type="dxa"/>
            <w:tcBorders>
              <w:top w:val="single" w:sz="4" w:space="0" w:color="auto"/>
              <w:bottom w:val="single" w:sz="4" w:space="0" w:color="auto"/>
            </w:tcBorders>
          </w:tcPr>
          <w:p w:rsidR="00FB2701" w:rsidRPr="00FB2701" w:rsidRDefault="0045122D" w:rsidP="00FB2701">
            <w:pPr>
              <w:autoSpaceDE w:val="0"/>
              <w:autoSpaceDN w:val="0"/>
              <w:adjustRightInd w:val="0"/>
              <w:spacing w:after="0" w:line="240" w:lineRule="auto"/>
              <w:jc w:val="right"/>
              <w:rPr>
                <w:rFonts w:cs="Helv"/>
                <w:b/>
                <w:bCs/>
                <w:color w:val="000000"/>
              </w:rPr>
            </w:pPr>
            <w:r>
              <w:rPr>
                <w:rFonts w:cs="Helv"/>
                <w:b/>
                <w:bCs/>
                <w:color w:val="000000"/>
              </w:rPr>
              <w:t>35</w:t>
            </w:r>
          </w:p>
        </w:tc>
      </w:tr>
    </w:tbl>
    <w:p w:rsidR="003D7DAE" w:rsidRPr="00045C9D" w:rsidRDefault="00CA23C2" w:rsidP="00FB2701">
      <w:pPr>
        <w:autoSpaceDE w:val="0"/>
        <w:autoSpaceDN w:val="0"/>
        <w:adjustRightInd w:val="0"/>
        <w:spacing w:after="240" w:line="240" w:lineRule="auto"/>
        <w:rPr>
          <w:rFonts w:cs="Helv"/>
          <w:bCs/>
          <w:color w:val="000000"/>
        </w:rPr>
      </w:pPr>
      <w:r>
        <w:rPr>
          <w:rFonts w:cs="Helv"/>
          <w:bCs/>
          <w:color w:val="000000"/>
        </w:rPr>
        <w:br/>
        <w:t>Notes</w:t>
      </w:r>
      <w:r w:rsidR="003D7DAE">
        <w:rPr>
          <w:rFonts w:cs="Helv"/>
          <w:bCs/>
          <w:color w:val="000000"/>
        </w:rPr>
        <w:t>:</w:t>
      </w:r>
    </w:p>
    <w:p w:rsidR="00084453" w:rsidRDefault="002D4BBB" w:rsidP="00084453">
      <w:pPr>
        <w:pStyle w:val="ListParagraph"/>
        <w:numPr>
          <w:ilvl w:val="0"/>
          <w:numId w:val="13"/>
        </w:numPr>
        <w:autoSpaceDE w:val="0"/>
        <w:autoSpaceDN w:val="0"/>
        <w:adjustRightInd w:val="0"/>
        <w:spacing w:after="240" w:line="240" w:lineRule="auto"/>
        <w:rPr>
          <w:rFonts w:cs="Helv"/>
          <w:bCs/>
          <w:color w:val="000000"/>
        </w:rPr>
      </w:pPr>
      <w:r>
        <w:rPr>
          <w:rFonts w:cs="Helv"/>
          <w:bCs/>
          <w:color w:val="000000"/>
        </w:rPr>
        <w:t xml:space="preserve">Available from the same </w:t>
      </w:r>
      <w:r w:rsidR="00FB2F5D">
        <w:rPr>
          <w:rFonts w:cs="Helv"/>
          <w:bCs/>
          <w:color w:val="000000"/>
        </w:rPr>
        <w:t xml:space="preserve">key series data </w:t>
      </w:r>
      <w:r>
        <w:rPr>
          <w:rFonts w:cs="Helv"/>
          <w:bCs/>
          <w:color w:val="000000"/>
        </w:rPr>
        <w:t xml:space="preserve">source </w:t>
      </w:r>
      <w:r w:rsidR="00FB2F5D">
        <w:rPr>
          <w:rFonts w:cs="Helv"/>
          <w:bCs/>
          <w:color w:val="000000"/>
        </w:rPr>
        <w:t xml:space="preserve">used </w:t>
      </w:r>
      <w:r>
        <w:rPr>
          <w:rFonts w:cs="Helv"/>
          <w:bCs/>
          <w:color w:val="000000"/>
        </w:rPr>
        <w:t>in</w:t>
      </w:r>
      <w:r w:rsidR="00084453" w:rsidRPr="00045C9D">
        <w:rPr>
          <w:rFonts w:cs="Helv"/>
          <w:bCs/>
          <w:color w:val="000000"/>
        </w:rPr>
        <w:t xml:space="preserve"> Gender</w:t>
      </w:r>
      <w:r>
        <w:rPr>
          <w:rFonts w:cs="Helv"/>
          <w:bCs/>
          <w:color w:val="000000"/>
        </w:rPr>
        <w:t xml:space="preserve"> Indicators</w:t>
      </w:r>
    </w:p>
    <w:p w:rsidR="00113AD1" w:rsidRPr="00113AD1" w:rsidRDefault="00113AD1" w:rsidP="00113AD1">
      <w:pPr>
        <w:pStyle w:val="ListParagraph"/>
        <w:numPr>
          <w:ilvl w:val="0"/>
          <w:numId w:val="13"/>
        </w:numPr>
        <w:autoSpaceDE w:val="0"/>
        <w:autoSpaceDN w:val="0"/>
        <w:adjustRightInd w:val="0"/>
        <w:spacing w:after="240" w:line="240" w:lineRule="auto"/>
        <w:rPr>
          <w:rFonts w:cs="Helv"/>
          <w:bCs/>
          <w:color w:val="000000"/>
        </w:rPr>
      </w:pPr>
      <w:r>
        <w:rPr>
          <w:rFonts w:cs="Helv"/>
          <w:bCs/>
          <w:color w:val="000000"/>
        </w:rPr>
        <w:t>Available</w:t>
      </w:r>
      <w:r w:rsidR="00FB2F5D">
        <w:rPr>
          <w:rFonts w:cs="Helv"/>
          <w:bCs/>
          <w:color w:val="000000"/>
        </w:rPr>
        <w:t xml:space="preserve"> from </w:t>
      </w:r>
      <w:r w:rsidR="00351808">
        <w:rPr>
          <w:rFonts w:cs="Helv"/>
          <w:bCs/>
          <w:color w:val="000000"/>
        </w:rPr>
        <w:t xml:space="preserve">Gender Indicators Related series data source </w:t>
      </w:r>
    </w:p>
    <w:p w:rsidR="00A83600" w:rsidRPr="00DA6C7C" w:rsidRDefault="002D4BBB" w:rsidP="00057018">
      <w:pPr>
        <w:pStyle w:val="ListParagraph"/>
        <w:numPr>
          <w:ilvl w:val="0"/>
          <w:numId w:val="13"/>
        </w:numPr>
        <w:autoSpaceDE w:val="0"/>
        <w:autoSpaceDN w:val="0"/>
        <w:adjustRightInd w:val="0"/>
        <w:spacing w:after="240" w:line="240" w:lineRule="auto"/>
        <w:rPr>
          <w:rFonts w:cs="Helv"/>
          <w:bCs/>
          <w:color w:val="000000"/>
        </w:rPr>
      </w:pPr>
      <w:r w:rsidRPr="00DA6C7C">
        <w:rPr>
          <w:rFonts w:cs="Helv"/>
          <w:bCs/>
          <w:color w:val="000000"/>
        </w:rPr>
        <w:t>Avai</w:t>
      </w:r>
      <w:r w:rsidR="00B8180D" w:rsidRPr="00DA6C7C">
        <w:rPr>
          <w:rFonts w:cs="Helv"/>
          <w:bCs/>
          <w:color w:val="000000"/>
        </w:rPr>
        <w:t>lable from a different ABS survey not used in Gender Indicators</w:t>
      </w:r>
    </w:p>
    <w:p w:rsidR="00BB18CC" w:rsidRPr="00BB18CC" w:rsidRDefault="005360B0" w:rsidP="00BB18CC">
      <w:pPr>
        <w:pStyle w:val="ListParagraph"/>
        <w:numPr>
          <w:ilvl w:val="0"/>
          <w:numId w:val="13"/>
        </w:numPr>
        <w:autoSpaceDE w:val="0"/>
        <w:autoSpaceDN w:val="0"/>
        <w:adjustRightInd w:val="0"/>
        <w:spacing w:after="240" w:line="240" w:lineRule="auto"/>
        <w:rPr>
          <w:rFonts w:cs="Helv"/>
          <w:b/>
          <w:bCs/>
          <w:color w:val="000000"/>
        </w:rPr>
      </w:pPr>
      <w:r>
        <w:rPr>
          <w:rFonts w:cs="Helv"/>
          <w:bCs/>
          <w:color w:val="000000"/>
        </w:rPr>
        <w:t xml:space="preserve">Non ABS </w:t>
      </w:r>
      <w:r w:rsidR="00351808">
        <w:rPr>
          <w:rFonts w:cs="Helv"/>
          <w:bCs/>
          <w:color w:val="000000"/>
        </w:rPr>
        <w:t>data sources such as M</w:t>
      </w:r>
      <w:r w:rsidR="00A8515F">
        <w:rPr>
          <w:rFonts w:cs="Helv"/>
          <w:bCs/>
          <w:color w:val="000000"/>
        </w:rPr>
        <w:t>edicare are still to be checked – may be available</w:t>
      </w:r>
    </w:p>
    <w:p w:rsidR="009566C5" w:rsidRPr="00CA23C2" w:rsidRDefault="00BB18CC" w:rsidP="003D7DAE">
      <w:pPr>
        <w:pStyle w:val="ListParagraph"/>
        <w:numPr>
          <w:ilvl w:val="0"/>
          <w:numId w:val="13"/>
        </w:numPr>
        <w:autoSpaceDE w:val="0"/>
        <w:autoSpaceDN w:val="0"/>
        <w:adjustRightInd w:val="0"/>
        <w:spacing w:after="240" w:line="240" w:lineRule="auto"/>
        <w:rPr>
          <w:rFonts w:cs="Helv"/>
          <w:b/>
          <w:bCs/>
          <w:color w:val="000000"/>
        </w:rPr>
      </w:pPr>
      <w:r w:rsidRPr="00CA23C2">
        <w:rPr>
          <w:rFonts w:cs="Helv"/>
          <w:bCs/>
          <w:color w:val="000000"/>
        </w:rPr>
        <w:t>Democracy, governance and citizenship domain not included</w:t>
      </w:r>
      <w:r w:rsidR="009566C5" w:rsidRPr="00CA23C2">
        <w:rPr>
          <w:rFonts w:cs="Helv"/>
          <w:b/>
          <w:bCs/>
          <w:color w:val="000000"/>
        </w:rPr>
        <w:br w:type="page"/>
      </w:r>
    </w:p>
    <w:p w:rsidR="009566C5" w:rsidRDefault="009566C5" w:rsidP="00FB2701">
      <w:pPr>
        <w:autoSpaceDE w:val="0"/>
        <w:autoSpaceDN w:val="0"/>
        <w:adjustRightInd w:val="0"/>
        <w:spacing w:after="240" w:line="240" w:lineRule="auto"/>
        <w:rPr>
          <w:rFonts w:cs="Helv"/>
          <w:b/>
          <w:bCs/>
          <w:color w:val="000000"/>
        </w:rPr>
      </w:pPr>
      <w:r>
        <w:rPr>
          <w:rFonts w:cs="Helv"/>
          <w:b/>
          <w:bCs/>
          <w:color w:val="000000"/>
        </w:rPr>
        <w:lastRenderedPageBreak/>
        <w:t>How to interpret the table</w:t>
      </w:r>
    </w:p>
    <w:p w:rsidR="00B516E3" w:rsidRPr="000D2ABC" w:rsidRDefault="00CA73D0" w:rsidP="00FB2701">
      <w:pPr>
        <w:autoSpaceDE w:val="0"/>
        <w:autoSpaceDN w:val="0"/>
        <w:adjustRightInd w:val="0"/>
        <w:spacing w:after="240" w:line="240" w:lineRule="auto"/>
        <w:rPr>
          <w:rFonts w:cs="Helv"/>
          <w:b/>
          <w:bCs/>
          <w:color w:val="000000"/>
        </w:rPr>
      </w:pPr>
      <w:r w:rsidRPr="000D2ABC">
        <w:rPr>
          <w:rFonts w:cs="Helv"/>
          <w:b/>
          <w:bCs/>
          <w:color w:val="000000"/>
        </w:rPr>
        <w:t>EXAMPLE</w:t>
      </w:r>
      <w:r w:rsidR="009B6A93" w:rsidRPr="000D2ABC">
        <w:rPr>
          <w:rFonts w:cs="Helv"/>
          <w:b/>
          <w:bCs/>
          <w:color w:val="000000"/>
        </w:rPr>
        <w:t xml:space="preserve"> ONE:</w:t>
      </w:r>
    </w:p>
    <w:p w:rsidR="00CA73D0" w:rsidRPr="009566C5" w:rsidRDefault="00CA73D0" w:rsidP="00FB2701">
      <w:pPr>
        <w:autoSpaceDE w:val="0"/>
        <w:autoSpaceDN w:val="0"/>
        <w:adjustRightInd w:val="0"/>
        <w:spacing w:after="240" w:line="240" w:lineRule="auto"/>
        <w:rPr>
          <w:rFonts w:cs="Helv"/>
          <w:bCs/>
          <w:i/>
          <w:color w:val="000000"/>
        </w:rPr>
      </w:pPr>
      <w:r w:rsidRPr="009566C5">
        <w:rPr>
          <w:rFonts w:cs="Helv"/>
          <w:bCs/>
          <w:i/>
          <w:color w:val="000000"/>
        </w:rPr>
        <w:t>Sub-population: Aboriginal and Torres Strait Islander</w:t>
      </w:r>
      <w:r w:rsidR="009566C5" w:rsidRPr="009566C5">
        <w:rPr>
          <w:rFonts w:cs="Helv"/>
          <w:bCs/>
          <w:i/>
          <w:color w:val="000000"/>
        </w:rPr>
        <w:t xml:space="preserve"> </w:t>
      </w:r>
      <w:r w:rsidRPr="009566C5">
        <w:rPr>
          <w:rFonts w:cs="Helv"/>
          <w:bCs/>
          <w:i/>
          <w:color w:val="000000"/>
        </w:rPr>
        <w:t>peoples</w:t>
      </w:r>
    </w:p>
    <w:p w:rsidR="00CA73D0" w:rsidRPr="00401949" w:rsidRDefault="00CA73D0" w:rsidP="00FB2701">
      <w:pPr>
        <w:autoSpaceDE w:val="0"/>
        <w:autoSpaceDN w:val="0"/>
        <w:adjustRightInd w:val="0"/>
        <w:spacing w:after="240" w:line="240" w:lineRule="auto"/>
        <w:rPr>
          <w:rFonts w:cs="Helv"/>
          <w:bCs/>
          <w:color w:val="000000"/>
        </w:rPr>
      </w:pPr>
      <w:r w:rsidRPr="00DA6C7C">
        <w:rPr>
          <w:rFonts w:cs="Helv"/>
          <w:b/>
          <w:bCs/>
          <w:color w:val="000000"/>
        </w:rPr>
        <w:t>Domain: Economic Security</w:t>
      </w:r>
      <w:r w:rsidR="00FF7407" w:rsidRPr="00401949">
        <w:rPr>
          <w:rFonts w:cs="Helv"/>
          <w:bCs/>
          <w:color w:val="000000"/>
        </w:rPr>
        <w:t xml:space="preserve"> contain</w:t>
      </w:r>
      <w:r w:rsidR="00401949">
        <w:rPr>
          <w:rFonts w:cs="Helv"/>
          <w:bCs/>
          <w:color w:val="000000"/>
        </w:rPr>
        <w:t>s</w:t>
      </w:r>
      <w:r w:rsidR="00131878">
        <w:rPr>
          <w:rFonts w:cs="Helv"/>
          <w:bCs/>
          <w:color w:val="000000"/>
        </w:rPr>
        <w:t xml:space="preserve"> 11 key </w:t>
      </w:r>
      <w:r w:rsidR="009566C5">
        <w:rPr>
          <w:rFonts w:cs="Helv"/>
          <w:bCs/>
          <w:color w:val="000000"/>
        </w:rPr>
        <w:t xml:space="preserve">series, of which 1 may report on Aboriginal and Torres Strait Islander peoples using the </w:t>
      </w:r>
      <w:r w:rsidR="00967FEB">
        <w:rPr>
          <w:rFonts w:cs="Helv"/>
          <w:bCs/>
          <w:color w:val="000000"/>
        </w:rPr>
        <w:t xml:space="preserve">same </w:t>
      </w:r>
      <w:r w:rsidR="009566C5">
        <w:rPr>
          <w:rFonts w:cs="Helv"/>
          <w:bCs/>
          <w:color w:val="000000"/>
        </w:rPr>
        <w:t xml:space="preserve">Gender Indicators </w:t>
      </w:r>
      <w:r w:rsidR="00967FEB">
        <w:rPr>
          <w:rFonts w:cs="Helv"/>
          <w:bCs/>
          <w:color w:val="000000"/>
        </w:rPr>
        <w:t xml:space="preserve">source as for the whole population, </w:t>
      </w:r>
      <w:r w:rsidR="009566C5">
        <w:rPr>
          <w:rFonts w:cs="Helv"/>
          <w:bCs/>
          <w:color w:val="000000"/>
        </w:rPr>
        <w:t xml:space="preserve">other </w:t>
      </w:r>
      <w:r w:rsidR="00967FEB">
        <w:rPr>
          <w:rFonts w:cs="Helv"/>
          <w:bCs/>
          <w:color w:val="000000"/>
        </w:rPr>
        <w:t>Gender indicators</w:t>
      </w:r>
      <w:r w:rsidR="009566C5">
        <w:rPr>
          <w:rFonts w:cs="Helv"/>
          <w:bCs/>
          <w:color w:val="000000"/>
        </w:rPr>
        <w:t xml:space="preserve"> sources are available to report on </w:t>
      </w:r>
      <w:r w:rsidR="00967FEB">
        <w:rPr>
          <w:rFonts w:cs="Helv"/>
          <w:bCs/>
          <w:color w:val="000000"/>
        </w:rPr>
        <w:t xml:space="preserve">9 key series and for 1 key series there is </w:t>
      </w:r>
      <w:proofErr w:type="spellStart"/>
      <w:r w:rsidR="00967FEB">
        <w:rPr>
          <w:rFonts w:cs="Helv"/>
          <w:bCs/>
          <w:color w:val="000000"/>
        </w:rPr>
        <w:t>currenly</w:t>
      </w:r>
      <w:proofErr w:type="spellEnd"/>
      <w:r w:rsidR="00967FEB">
        <w:rPr>
          <w:rFonts w:cs="Helv"/>
          <w:bCs/>
          <w:color w:val="000000"/>
        </w:rPr>
        <w:t xml:space="preserve"> no available source for reporting</w:t>
      </w:r>
      <w:r w:rsidR="009566C5">
        <w:rPr>
          <w:rFonts w:cs="Helv"/>
          <w:bCs/>
          <w:color w:val="000000"/>
        </w:rPr>
        <w:t>.</w:t>
      </w:r>
    </w:p>
    <w:p w:rsidR="006445BD" w:rsidRPr="000D2ABC" w:rsidRDefault="006445BD" w:rsidP="006445BD">
      <w:pPr>
        <w:autoSpaceDE w:val="0"/>
        <w:autoSpaceDN w:val="0"/>
        <w:adjustRightInd w:val="0"/>
        <w:spacing w:after="240" w:line="240" w:lineRule="auto"/>
        <w:rPr>
          <w:rFonts w:cs="Helv"/>
          <w:b/>
          <w:bCs/>
          <w:color w:val="000000"/>
        </w:rPr>
      </w:pPr>
      <w:r w:rsidRPr="000D2ABC">
        <w:rPr>
          <w:rFonts w:cs="Helv"/>
          <w:b/>
          <w:bCs/>
          <w:color w:val="000000"/>
        </w:rPr>
        <w:t>EXAMPLE TWO:</w:t>
      </w:r>
    </w:p>
    <w:p w:rsidR="006445BD" w:rsidRPr="009566C5" w:rsidRDefault="006445BD" w:rsidP="006445BD">
      <w:pPr>
        <w:autoSpaceDE w:val="0"/>
        <w:autoSpaceDN w:val="0"/>
        <w:adjustRightInd w:val="0"/>
        <w:spacing w:after="240" w:line="240" w:lineRule="auto"/>
        <w:rPr>
          <w:rFonts w:cs="Helv"/>
          <w:bCs/>
          <w:i/>
          <w:color w:val="000000"/>
        </w:rPr>
      </w:pPr>
      <w:r w:rsidRPr="009566C5">
        <w:rPr>
          <w:rFonts w:cs="Helv"/>
          <w:bCs/>
          <w:i/>
          <w:color w:val="000000"/>
        </w:rPr>
        <w:t>Sub-population:  People with a Disability</w:t>
      </w:r>
    </w:p>
    <w:p w:rsidR="00FF7407" w:rsidRPr="002D4BBB" w:rsidRDefault="006445BD" w:rsidP="00FB2701">
      <w:pPr>
        <w:autoSpaceDE w:val="0"/>
        <w:autoSpaceDN w:val="0"/>
        <w:adjustRightInd w:val="0"/>
        <w:spacing w:after="240" w:line="240" w:lineRule="auto"/>
        <w:rPr>
          <w:rFonts w:cs="Helv"/>
          <w:bCs/>
          <w:color w:val="000000"/>
        </w:rPr>
      </w:pPr>
      <w:r w:rsidRPr="00DA6C7C">
        <w:rPr>
          <w:rFonts w:cs="Helv"/>
          <w:b/>
          <w:bCs/>
          <w:color w:val="000000"/>
        </w:rPr>
        <w:t xml:space="preserve">Domain: </w:t>
      </w:r>
      <w:r w:rsidR="009566C5" w:rsidRPr="00DA6C7C">
        <w:rPr>
          <w:rFonts w:cs="Helv"/>
          <w:b/>
          <w:bCs/>
          <w:color w:val="000000"/>
        </w:rPr>
        <w:t>Education</w:t>
      </w:r>
      <w:r>
        <w:rPr>
          <w:rFonts w:cs="Helv"/>
          <w:bCs/>
          <w:color w:val="000000"/>
        </w:rPr>
        <w:t xml:space="preserve"> contains 7 key series</w:t>
      </w:r>
      <w:r w:rsidR="009566C5">
        <w:rPr>
          <w:rFonts w:cs="Helv"/>
          <w:bCs/>
          <w:color w:val="000000"/>
        </w:rPr>
        <w:t xml:space="preserve">, of which none may report on people with a disability using the </w:t>
      </w:r>
      <w:r w:rsidR="00967FEB">
        <w:rPr>
          <w:rFonts w:cs="Helv"/>
          <w:bCs/>
          <w:color w:val="000000"/>
        </w:rPr>
        <w:t xml:space="preserve">same </w:t>
      </w:r>
      <w:r w:rsidR="009566C5">
        <w:rPr>
          <w:rFonts w:cs="Helv"/>
          <w:bCs/>
          <w:color w:val="000000"/>
        </w:rPr>
        <w:t>Gender Indicators sources</w:t>
      </w:r>
      <w:r w:rsidR="00967FEB">
        <w:rPr>
          <w:rFonts w:cs="Helv"/>
          <w:bCs/>
          <w:color w:val="000000"/>
        </w:rPr>
        <w:t xml:space="preserve"> as for the whole population</w:t>
      </w:r>
      <w:r w:rsidR="009566C5">
        <w:rPr>
          <w:rFonts w:cs="Helv"/>
          <w:bCs/>
          <w:color w:val="000000"/>
        </w:rPr>
        <w:t>, other ABS sources are available to report 5 key series and for 2 key series there is currently no available source for reporting.</w:t>
      </w:r>
    </w:p>
    <w:p w:rsidR="00FF7407" w:rsidRDefault="00FF7407" w:rsidP="00FB2701">
      <w:pPr>
        <w:autoSpaceDE w:val="0"/>
        <w:autoSpaceDN w:val="0"/>
        <w:adjustRightInd w:val="0"/>
        <w:spacing w:after="240" w:line="240" w:lineRule="auto"/>
        <w:rPr>
          <w:rFonts w:cs="Helv"/>
          <w:b/>
          <w:bCs/>
          <w:color w:val="000000"/>
        </w:rPr>
      </w:pPr>
    </w:p>
    <w:sectPr w:rsidR="00FF7407" w:rsidSect="00EF35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DCEE706"/>
    <w:lvl w:ilvl="0">
      <w:numFmt w:val="bullet"/>
      <w:lvlText w:val="*"/>
      <w:lvlJc w:val="left"/>
    </w:lvl>
  </w:abstractNum>
  <w:abstractNum w:abstractNumId="1">
    <w:nsid w:val="071B4518"/>
    <w:multiLevelType w:val="hybridMultilevel"/>
    <w:tmpl w:val="B448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4C7B37"/>
    <w:multiLevelType w:val="hybridMultilevel"/>
    <w:tmpl w:val="C590DE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D01EA3"/>
    <w:multiLevelType w:val="hybridMultilevel"/>
    <w:tmpl w:val="0654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42CC6"/>
    <w:multiLevelType w:val="hybridMultilevel"/>
    <w:tmpl w:val="E69EF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3B9109C"/>
    <w:multiLevelType w:val="hybridMultilevel"/>
    <w:tmpl w:val="E7DC5E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CF661AA"/>
    <w:multiLevelType w:val="hybridMultilevel"/>
    <w:tmpl w:val="ED26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AC1C76"/>
    <w:multiLevelType w:val="hybridMultilevel"/>
    <w:tmpl w:val="3C3E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B32B7E"/>
    <w:multiLevelType w:val="hybridMultilevel"/>
    <w:tmpl w:val="6B44B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D03DE5"/>
    <w:multiLevelType w:val="hybridMultilevel"/>
    <w:tmpl w:val="7FC05D20"/>
    <w:lvl w:ilvl="0" w:tplc="DDCEE706">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25089B"/>
    <w:multiLevelType w:val="hybridMultilevel"/>
    <w:tmpl w:val="BEE01626"/>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F97F9B"/>
    <w:multiLevelType w:val="hybridMultilevel"/>
    <w:tmpl w:val="33769C82"/>
    <w:lvl w:ilvl="0" w:tplc="D592DC7C">
      <w:start w:val="1"/>
      <w:numFmt w:val="decimal"/>
      <w:lvlText w:val="%1"/>
      <w:lvlJc w:val="left"/>
      <w:pPr>
        <w:ind w:left="1080" w:hanging="360"/>
      </w:pPr>
      <w:rPr>
        <w:rFonts w:cs="Helv"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9064E5A"/>
    <w:multiLevelType w:val="hybridMultilevel"/>
    <w:tmpl w:val="10F280AC"/>
    <w:lvl w:ilvl="0" w:tplc="DDCEE706">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5E0E4F"/>
    <w:multiLevelType w:val="hybridMultilevel"/>
    <w:tmpl w:val="24A67ED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60F770F"/>
    <w:multiLevelType w:val="hybridMultilevel"/>
    <w:tmpl w:val="E95C1218"/>
    <w:lvl w:ilvl="0" w:tplc="4724C2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B3A3E76"/>
    <w:multiLevelType w:val="hybridMultilevel"/>
    <w:tmpl w:val="10CA9AB0"/>
    <w:lvl w:ilvl="0" w:tplc="C18A64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7"/>
  </w:num>
  <w:num w:numId="3">
    <w:abstractNumId w:val="5"/>
  </w:num>
  <w:num w:numId="4">
    <w:abstractNumId w:val="1"/>
  </w:num>
  <w:num w:numId="5">
    <w:abstractNumId w:val="13"/>
  </w:num>
  <w:num w:numId="6">
    <w:abstractNumId w:val="8"/>
  </w:num>
  <w:num w:numId="7">
    <w:abstractNumId w:val="6"/>
  </w:num>
  <w:num w:numId="8">
    <w:abstractNumId w:val="9"/>
  </w:num>
  <w:num w:numId="9">
    <w:abstractNumId w:val="2"/>
  </w:num>
  <w:num w:numId="10">
    <w:abstractNumId w:val="4"/>
  </w:num>
  <w:num w:numId="11">
    <w:abstractNumId w:val="0"/>
    <w:lvlOverride w:ilvl="0">
      <w:lvl w:ilvl="0">
        <w:start w:val="1"/>
        <w:numFmt w:val="bullet"/>
        <w:lvlText w:val=""/>
        <w:legacy w:legacy="1" w:legacySpace="0" w:legacyIndent="397"/>
        <w:lvlJc w:val="left"/>
        <w:pPr>
          <w:ind w:left="681" w:hanging="397"/>
        </w:pPr>
        <w:rPr>
          <w:rFonts w:ascii="Symbol" w:hAnsi="Symbol" w:hint="default"/>
          <w:sz w:val="24"/>
        </w:rPr>
      </w:lvl>
    </w:lvlOverride>
  </w:num>
  <w:num w:numId="12">
    <w:abstractNumId w:val="0"/>
    <w:lvlOverride w:ilvl="0">
      <w:lvl w:ilvl="0">
        <w:numFmt w:val="bullet"/>
        <w:lvlText w:val="o"/>
        <w:legacy w:legacy="1" w:legacySpace="0" w:legacyIndent="0"/>
        <w:lvlJc w:val="left"/>
        <w:rPr>
          <w:rFonts w:ascii="Courier" w:hAnsi="Courier" w:hint="default"/>
        </w:rPr>
      </w:lvl>
    </w:lvlOverride>
  </w:num>
  <w:num w:numId="13">
    <w:abstractNumId w:val="15"/>
  </w:num>
  <w:num w:numId="14">
    <w:abstractNumId w:val="12"/>
  </w:num>
  <w:num w:numId="15">
    <w:abstractNumId w:val="1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01"/>
    <w:rsid w:val="00014AF7"/>
    <w:rsid w:val="00017004"/>
    <w:rsid w:val="00034344"/>
    <w:rsid w:val="000411A1"/>
    <w:rsid w:val="00044301"/>
    <w:rsid w:val="00045C9D"/>
    <w:rsid w:val="00057018"/>
    <w:rsid w:val="000632F8"/>
    <w:rsid w:val="00084453"/>
    <w:rsid w:val="000D2ABC"/>
    <w:rsid w:val="000E4961"/>
    <w:rsid w:val="00113AD1"/>
    <w:rsid w:val="001238E8"/>
    <w:rsid w:val="00131878"/>
    <w:rsid w:val="00143113"/>
    <w:rsid w:val="00147AAF"/>
    <w:rsid w:val="00193232"/>
    <w:rsid w:val="001B5993"/>
    <w:rsid w:val="001B6539"/>
    <w:rsid w:val="001E20AF"/>
    <w:rsid w:val="001F3474"/>
    <w:rsid w:val="002121E8"/>
    <w:rsid w:val="00225F06"/>
    <w:rsid w:val="00237740"/>
    <w:rsid w:val="00243FE9"/>
    <w:rsid w:val="00266B29"/>
    <w:rsid w:val="0027738B"/>
    <w:rsid w:val="00281D2C"/>
    <w:rsid w:val="0028602D"/>
    <w:rsid w:val="002B379A"/>
    <w:rsid w:val="002B54A1"/>
    <w:rsid w:val="002B74C3"/>
    <w:rsid w:val="002C60D9"/>
    <w:rsid w:val="002D4BBB"/>
    <w:rsid w:val="002D558F"/>
    <w:rsid w:val="002E1979"/>
    <w:rsid w:val="002F1ECF"/>
    <w:rsid w:val="00300163"/>
    <w:rsid w:val="00320371"/>
    <w:rsid w:val="00320FB7"/>
    <w:rsid w:val="00334956"/>
    <w:rsid w:val="00350863"/>
    <w:rsid w:val="00351808"/>
    <w:rsid w:val="003527F7"/>
    <w:rsid w:val="003647F2"/>
    <w:rsid w:val="00371A9E"/>
    <w:rsid w:val="00375C7D"/>
    <w:rsid w:val="00376B7F"/>
    <w:rsid w:val="003D7DAE"/>
    <w:rsid w:val="00401949"/>
    <w:rsid w:val="00403E68"/>
    <w:rsid w:val="00405AE8"/>
    <w:rsid w:val="00437A8F"/>
    <w:rsid w:val="0045122D"/>
    <w:rsid w:val="004627D7"/>
    <w:rsid w:val="00473B84"/>
    <w:rsid w:val="004C3CE2"/>
    <w:rsid w:val="004E5AD2"/>
    <w:rsid w:val="004F376A"/>
    <w:rsid w:val="00510778"/>
    <w:rsid w:val="005256C3"/>
    <w:rsid w:val="005360B0"/>
    <w:rsid w:val="00543774"/>
    <w:rsid w:val="005449E2"/>
    <w:rsid w:val="00545D5A"/>
    <w:rsid w:val="0057437A"/>
    <w:rsid w:val="005757C5"/>
    <w:rsid w:val="0058109E"/>
    <w:rsid w:val="005A396F"/>
    <w:rsid w:val="005C0D0B"/>
    <w:rsid w:val="005D1A80"/>
    <w:rsid w:val="005F7B0F"/>
    <w:rsid w:val="00624D49"/>
    <w:rsid w:val="00631ED9"/>
    <w:rsid w:val="00635F72"/>
    <w:rsid w:val="00643AA7"/>
    <w:rsid w:val="006445BD"/>
    <w:rsid w:val="0066669B"/>
    <w:rsid w:val="00666E00"/>
    <w:rsid w:val="00667F74"/>
    <w:rsid w:val="00671F5E"/>
    <w:rsid w:val="00675F1D"/>
    <w:rsid w:val="00683275"/>
    <w:rsid w:val="006A5D51"/>
    <w:rsid w:val="006B17A3"/>
    <w:rsid w:val="006F2F2D"/>
    <w:rsid w:val="006F4594"/>
    <w:rsid w:val="006F769B"/>
    <w:rsid w:val="007033FD"/>
    <w:rsid w:val="00713A5D"/>
    <w:rsid w:val="00717A86"/>
    <w:rsid w:val="00724E0B"/>
    <w:rsid w:val="0073519F"/>
    <w:rsid w:val="00745312"/>
    <w:rsid w:val="0076128B"/>
    <w:rsid w:val="00783A60"/>
    <w:rsid w:val="007A3F58"/>
    <w:rsid w:val="007A4B78"/>
    <w:rsid w:val="007B0518"/>
    <w:rsid w:val="007B2A55"/>
    <w:rsid w:val="007D2E00"/>
    <w:rsid w:val="007F53C4"/>
    <w:rsid w:val="00801246"/>
    <w:rsid w:val="00866AF5"/>
    <w:rsid w:val="0089153B"/>
    <w:rsid w:val="00894764"/>
    <w:rsid w:val="00895466"/>
    <w:rsid w:val="008B6688"/>
    <w:rsid w:val="008D18A8"/>
    <w:rsid w:val="008E6019"/>
    <w:rsid w:val="00900783"/>
    <w:rsid w:val="00905D39"/>
    <w:rsid w:val="00907DD2"/>
    <w:rsid w:val="00940462"/>
    <w:rsid w:val="009566C5"/>
    <w:rsid w:val="00967FEB"/>
    <w:rsid w:val="00976057"/>
    <w:rsid w:val="009B1EEE"/>
    <w:rsid w:val="009B4E95"/>
    <w:rsid w:val="009B6A93"/>
    <w:rsid w:val="009D4CBA"/>
    <w:rsid w:val="009E7033"/>
    <w:rsid w:val="00A33F95"/>
    <w:rsid w:val="00A6413E"/>
    <w:rsid w:val="00A83600"/>
    <w:rsid w:val="00A8515F"/>
    <w:rsid w:val="00A861C3"/>
    <w:rsid w:val="00AD0FAE"/>
    <w:rsid w:val="00AE68B0"/>
    <w:rsid w:val="00AF52BB"/>
    <w:rsid w:val="00B076FF"/>
    <w:rsid w:val="00B11830"/>
    <w:rsid w:val="00B435CB"/>
    <w:rsid w:val="00B516E3"/>
    <w:rsid w:val="00B72D48"/>
    <w:rsid w:val="00B8180D"/>
    <w:rsid w:val="00B82FB7"/>
    <w:rsid w:val="00BA2957"/>
    <w:rsid w:val="00BB089E"/>
    <w:rsid w:val="00BB18CC"/>
    <w:rsid w:val="00BF7189"/>
    <w:rsid w:val="00C11C57"/>
    <w:rsid w:val="00C34720"/>
    <w:rsid w:val="00C4350B"/>
    <w:rsid w:val="00CA23C2"/>
    <w:rsid w:val="00CA73D0"/>
    <w:rsid w:val="00CD1BD0"/>
    <w:rsid w:val="00CD6E5B"/>
    <w:rsid w:val="00CF46CB"/>
    <w:rsid w:val="00D31377"/>
    <w:rsid w:val="00D37AA5"/>
    <w:rsid w:val="00D53D69"/>
    <w:rsid w:val="00D64342"/>
    <w:rsid w:val="00DA6C7C"/>
    <w:rsid w:val="00DD59A4"/>
    <w:rsid w:val="00DE7B49"/>
    <w:rsid w:val="00E41F7C"/>
    <w:rsid w:val="00E636DD"/>
    <w:rsid w:val="00E90797"/>
    <w:rsid w:val="00E93178"/>
    <w:rsid w:val="00EB2858"/>
    <w:rsid w:val="00EB35D7"/>
    <w:rsid w:val="00EB53EC"/>
    <w:rsid w:val="00F60CCE"/>
    <w:rsid w:val="00F6584B"/>
    <w:rsid w:val="00F72559"/>
    <w:rsid w:val="00FB2074"/>
    <w:rsid w:val="00FB2701"/>
    <w:rsid w:val="00FB2F5D"/>
    <w:rsid w:val="00FE185F"/>
    <w:rsid w:val="00FF7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01694-A7CB-4ECE-9A8F-81EB7C64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D2"/>
    <w:pPr>
      <w:ind w:left="720"/>
      <w:contextualSpacing/>
    </w:pPr>
  </w:style>
  <w:style w:type="paragraph" w:customStyle="1" w:styleId="Dash">
    <w:name w:val="Dash"/>
    <w:basedOn w:val="Normal"/>
    <w:semiHidden/>
    <w:rsid w:val="007F53C4"/>
    <w:pPr>
      <w:tabs>
        <w:tab w:val="num" w:pos="360"/>
      </w:tabs>
      <w:spacing w:before="20" w:after="20" w:line="240" w:lineRule="auto"/>
    </w:pPr>
    <w:rPr>
      <w:rFonts w:ascii="Arial" w:eastAsia="Times New Roman" w:hAnsi="Arial" w:cs="Times New Roman"/>
      <w:sz w:val="24"/>
      <w:szCs w:val="24"/>
      <w:lang w:eastAsia="en-AU"/>
    </w:rPr>
  </w:style>
  <w:style w:type="paragraph" w:styleId="BalloonText">
    <w:name w:val="Balloon Text"/>
    <w:basedOn w:val="Normal"/>
    <w:link w:val="BalloonTextChar"/>
    <w:uiPriority w:val="99"/>
    <w:semiHidden/>
    <w:unhideWhenUsed/>
    <w:rsid w:val="00DA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gov.au/internet/main/publishing.nsf/Content/ageing-cald-national-aged-care-strateg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 Daley</dc:creator>
  <cp:lastModifiedBy>eS4W</cp:lastModifiedBy>
  <cp:revision>2</cp:revision>
  <cp:lastPrinted>2014-05-28T22:31:00Z</cp:lastPrinted>
  <dcterms:created xsi:type="dcterms:W3CDTF">2014-05-28T22:31:00Z</dcterms:created>
  <dcterms:modified xsi:type="dcterms:W3CDTF">2014-05-28T22:31:00Z</dcterms:modified>
</cp:coreProperties>
</file>